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12</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天津市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12</w:t>
      </w:r>
      <w:r>
        <w:fldChar w:fldCharType="end"/>
      </w:r>
      <w:bookmarkEnd w:id="5"/>
      <w:r>
        <w:rPr>
          <w:rFonts w:hint="eastAsia"/>
        </w:rPr>
        <w:t>/T</w:t>
      </w:r>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1176</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消防安全领域信用评价规范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Specification for credit evaluation in the field of fire safty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6"/>
        <w:framePr w:w="9639" w:h="6974" w:hRule="exact" w:wrap="around" w:vAnchor="page" w:hAnchor="page" w:x="1419" w:y="6408" w:anchorLock="1"/>
        <w:spacing w:before="720" w:beforeLines="300" w:after="72" w:afterLines="30" w:line="240" w:lineRule="auto"/>
        <w:textAlignment w:val="bottom"/>
        <w:rPr>
          <w:b/>
          <w:sz w:val="21"/>
          <w:szCs w:val="28"/>
        </w:rPr>
      </w:pPr>
      <w:bookmarkStart w:id="54" w:name="_GoBack"/>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bookmarkEnd w:id="54"/>
    </w:p>
    <w:p>
      <w:pPr>
        <w:pStyle w:val="194"/>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lang w:val="en"/>
        </w:rPr>
        <w:t>2</w:t>
      </w:r>
      <w:r>
        <w:rPr>
          <w:rFonts w:hint="default" w:ascii="黑体"/>
          <w:lang w:val="en"/>
        </w:rPr>
        <w:t>022</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lang w:val="en"/>
        </w:rPr>
        <w:t>1</w:t>
      </w:r>
      <w:r>
        <w:rPr>
          <w:rFonts w:hint="default" w:ascii="黑体"/>
          <w:lang w:val="en"/>
        </w:rPr>
        <w:t>1</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lang w:val="en"/>
        </w:rPr>
        <w:t>2</w:t>
      </w:r>
      <w:r>
        <w:rPr>
          <w:rFonts w:hint="default" w:ascii="黑体"/>
          <w:lang w:val="en"/>
        </w:rPr>
        <w:t>2</w:t>
      </w:r>
      <w:r>
        <w:rPr>
          <w:rFonts w:ascii="黑体"/>
        </w:rPr>
        <w:fldChar w:fldCharType="end"/>
      </w:r>
      <w:bookmarkEnd w:id="17"/>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20"/>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天津市市场监督管理委员会</w:t>
      </w:r>
      <w:r>
        <w:rPr>
          <w:rFonts w:hAnsi="黑体"/>
          <w:w w:val="100"/>
          <w:sz w:val="28"/>
        </w:rPr>
        <w:fldChar w:fldCharType="end"/>
      </w:r>
      <w:bookmarkEnd w:id="21"/>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0"/>
        <w:spacing w:after="468"/>
      </w:pPr>
      <w:bookmarkStart w:id="22" w:name="_Toc22630"/>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235"/>
      </w:pPr>
      <w:r>
        <w:rPr>
          <w:rFonts w:hint="eastAsia"/>
        </w:rPr>
        <w:t>本文件由天津市消防救援总队提出并归口。</w:t>
      </w:r>
    </w:p>
    <w:p>
      <w:pPr>
        <w:pStyle w:val="235"/>
      </w:pPr>
      <w:r>
        <w:rPr>
          <w:rFonts w:hint="eastAsia"/>
        </w:rPr>
        <w:t>本文件起草单位：天津市消防救援总队、</w:t>
      </w:r>
      <w:r>
        <w:rPr>
          <w:rFonts w:hint="eastAsia"/>
          <w:szCs w:val="22"/>
        </w:rPr>
        <w:t>天津市社会信用标准化技术委员会。</w:t>
      </w:r>
    </w:p>
    <w:p>
      <w:pPr>
        <w:pStyle w:val="57"/>
        <w:ind w:firstLine="420"/>
      </w:pPr>
      <w:r>
        <w:rPr>
          <w:rFonts w:hint="eastAsia"/>
        </w:rPr>
        <w:t>本文件主要起草人：戴志宏、李佳珊、张雪、王静萱、彭立新、尹桂旭、刘婷、何中旭、杨立泉、张建宝。</w:t>
      </w:r>
    </w:p>
    <w:p>
      <w:pPr>
        <w:pStyle w:val="57"/>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93F1F6BE9F8B49B582C0C938A0B20B27"/>
        </w:placeholder>
      </w:sdtPr>
      <w:sdtContent>
        <w:p>
          <w:pPr>
            <w:pStyle w:val="178"/>
            <w:spacing w:before="312" w:beforeLines="100" w:after="686" w:afterLines="220"/>
          </w:pPr>
          <w:bookmarkStart w:id="25" w:name="NEW_STAND_NAME"/>
          <w:r>
            <w:rPr>
              <w:rFonts w:hint="eastAsia"/>
            </w:rPr>
            <w:t>消防安全领域信用评价规范</w:t>
          </w:r>
        </w:p>
      </w:sdtContent>
    </w:sdt>
    <w:bookmarkEnd w:id="25"/>
    <w:p>
      <w:pPr>
        <w:pStyle w:val="105"/>
        <w:spacing w:before="312" w:after="312"/>
      </w:pPr>
      <w:bookmarkStart w:id="26" w:name="_Toc26986771"/>
      <w:bookmarkStart w:id="27" w:name="_Toc26648465"/>
      <w:bookmarkStart w:id="28" w:name="_Toc26986530"/>
      <w:bookmarkStart w:id="29" w:name="_Toc26718930"/>
      <w:bookmarkStart w:id="30" w:name="_Toc24884218"/>
      <w:bookmarkStart w:id="31" w:name="_Toc24884211"/>
      <w:bookmarkStart w:id="32" w:name="_Toc17233333"/>
      <w:bookmarkStart w:id="33" w:name="_Toc17233325"/>
      <w:bookmarkStart w:id="34" w:name="_Toc19405"/>
      <w:r>
        <w:rPr>
          <w:rFonts w:hint="eastAsia"/>
        </w:rPr>
        <w:t>范围</w:t>
      </w:r>
      <w:bookmarkEnd w:id="26"/>
      <w:bookmarkEnd w:id="27"/>
      <w:bookmarkEnd w:id="28"/>
      <w:bookmarkEnd w:id="29"/>
      <w:bookmarkEnd w:id="30"/>
      <w:bookmarkEnd w:id="31"/>
      <w:bookmarkEnd w:id="32"/>
      <w:bookmarkEnd w:id="33"/>
      <w:bookmarkEnd w:id="34"/>
    </w:p>
    <w:p>
      <w:pPr>
        <w:pStyle w:val="57"/>
        <w:ind w:firstLine="420"/>
      </w:pPr>
      <w:bookmarkStart w:id="35" w:name="_Toc24884212"/>
      <w:bookmarkStart w:id="36" w:name="_Toc17233334"/>
      <w:bookmarkStart w:id="37" w:name="_Toc17233326"/>
      <w:bookmarkStart w:id="38" w:name="_Toc24884219"/>
      <w:bookmarkStart w:id="39" w:name="_Toc26648466"/>
      <w:r>
        <w:rPr>
          <w:rFonts w:hint="eastAsia"/>
        </w:rPr>
        <w:t>本文件确立了评价原则，规定了评价指标设置、等级划分与信用评价的要求。</w:t>
      </w:r>
    </w:p>
    <w:p>
      <w:pPr>
        <w:pStyle w:val="57"/>
        <w:ind w:firstLine="420"/>
        <w:rPr>
          <w:color w:val="FF0000"/>
        </w:rPr>
      </w:pPr>
      <w:r>
        <w:rPr>
          <w:rFonts w:hint="eastAsia"/>
        </w:rPr>
        <w:t>本文件适用于信用评价机构、行政机关等评价主体对</w:t>
      </w:r>
      <w:r>
        <w:t>机关</w:t>
      </w:r>
      <w:r>
        <w:rPr>
          <w:rFonts w:hint="eastAsia"/>
        </w:rPr>
        <w:t>、</w:t>
      </w:r>
      <w:r>
        <w:t>团体</w:t>
      </w:r>
      <w:r>
        <w:rPr>
          <w:rFonts w:hint="eastAsia"/>
        </w:rPr>
        <w:t>、</w:t>
      </w:r>
      <w:r>
        <w:t>企业</w:t>
      </w:r>
      <w:r>
        <w:rPr>
          <w:rFonts w:hint="eastAsia"/>
        </w:rPr>
        <w:t>、</w:t>
      </w:r>
      <w:r>
        <w:t>事业</w:t>
      </w:r>
      <w:r>
        <w:rPr>
          <w:rFonts w:hint="eastAsia"/>
        </w:rPr>
        <w:t>单位（</w:t>
      </w:r>
      <w:r>
        <w:t>以下简称单位</w:t>
      </w:r>
      <w:r>
        <w:rPr>
          <w:rFonts w:hint="eastAsia"/>
        </w:rPr>
        <w:t>）的</w:t>
      </w:r>
      <w:r>
        <w:t>消防安全领域</w:t>
      </w:r>
      <w:r>
        <w:rPr>
          <w:rFonts w:hint="eastAsia"/>
        </w:rPr>
        <w:t>信用评价，单位</w:t>
      </w:r>
      <w:r>
        <w:t>开展消防安全领域信用自我评价可参照执行</w:t>
      </w:r>
      <w:r>
        <w:rPr>
          <w:rFonts w:hint="eastAsia"/>
        </w:rPr>
        <w:t>。</w:t>
      </w:r>
    </w:p>
    <w:p>
      <w:pPr>
        <w:pStyle w:val="105"/>
        <w:spacing w:before="312" w:after="312"/>
      </w:pPr>
      <w:bookmarkStart w:id="40" w:name="_Toc26986531"/>
      <w:bookmarkStart w:id="41" w:name="_Toc26718931"/>
      <w:bookmarkStart w:id="42" w:name="_Toc6709"/>
      <w:bookmarkStart w:id="43" w:name="_Toc26986772"/>
      <w:r>
        <w:rPr>
          <w:rFonts w:hint="eastAsia"/>
        </w:rPr>
        <w:t>规范性引用文用文件</w:t>
      </w:r>
    </w:p>
    <w:sdt>
      <w:sdtPr>
        <w:rPr>
          <w:rFonts w:hint="eastAsia"/>
        </w:rPr>
        <w:id w:val="715848253"/>
        <w:placeholder>
          <w:docPart w:val="EFCC2EEE47E4473396C416C60F7D75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bookmarkStart w:id="44" w:name="_Toc113010451"/>
      <w:bookmarkStart w:id="45" w:name="_Toc113010479"/>
      <w:r>
        <w:rPr>
          <w:rFonts w:hint="eastAsia"/>
        </w:rPr>
        <w:t>GB/T 22117  信用 基本术语</w:t>
      </w:r>
    </w:p>
    <w:p>
      <w:pPr>
        <w:pStyle w:val="105"/>
        <w:spacing w:before="312" w:after="312"/>
      </w:pPr>
      <w:r>
        <w:rPr>
          <w:rFonts w:hint="eastAsia"/>
          <w:szCs w:val="21"/>
        </w:rPr>
        <w:t>术语和定义</w:t>
      </w:r>
      <w:bookmarkEnd w:id="44"/>
      <w:bookmarkEnd w:id="45"/>
    </w:p>
    <w:sdt>
      <w:sdtPr>
        <w:id w:val="-1909835108"/>
        <w:placeholder>
          <w:docPart w:val="860A32AD16CB46C7BDA616A633F5936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6" w:name="_Toc26986532"/>
          <w:bookmarkEnd w:id="46"/>
          <w:r>
            <w:t>GB/T 22117界定的以及下列术语和定义适用于本文件。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bookmarkEnd w:id="35"/>
      <w:bookmarkEnd w:id="36"/>
      <w:bookmarkEnd w:id="37"/>
      <w:bookmarkEnd w:id="38"/>
      <w:bookmarkEnd w:id="39"/>
      <w:bookmarkEnd w:id="40"/>
      <w:bookmarkEnd w:id="41"/>
      <w:bookmarkEnd w:id="42"/>
      <w:bookmarkEnd w:id="43"/>
      <w:r>
        <w:rPr>
          <w:rFonts w:hint="eastAsia" w:ascii="黑体" w:hAnsi="黑体" w:eastAsia="黑体"/>
        </w:rPr>
        <w:t>信用评价  credit evaluation</w:t>
      </w:r>
    </w:p>
    <w:p>
      <w:pPr>
        <w:pStyle w:val="57"/>
        <w:ind w:firstLine="420"/>
        <w:rPr>
          <w:rFonts w:ascii="黑体" w:hAnsi="黑体" w:eastAsia="黑体"/>
        </w:rPr>
      </w:pPr>
      <w:r>
        <w:rPr>
          <w:rFonts w:hint="eastAsia"/>
        </w:rPr>
        <w:t>对信用主体在某一时期的信用状况进行记录、分析和评估，并用特定符号标明其信用状况的活动。</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评价主体  evaluation subject</w:t>
      </w:r>
    </w:p>
    <w:p>
      <w:pPr>
        <w:pStyle w:val="57"/>
        <w:ind w:firstLine="420"/>
      </w:pPr>
      <w:r>
        <w:rPr>
          <w:rFonts w:hint="eastAsia"/>
        </w:rPr>
        <w:t>开展消防安全领域信用评价的主体，包括信用评价机构、行政机关等。</w:t>
      </w:r>
    </w:p>
    <w:p>
      <w:pPr>
        <w:pStyle w:val="105"/>
        <w:spacing w:before="312" w:after="312"/>
        <w:rPr>
          <w:szCs w:val="21"/>
        </w:rPr>
      </w:pPr>
      <w:bookmarkStart w:id="47" w:name="_Toc18558"/>
      <w:r>
        <w:rPr>
          <w:rFonts w:hint="eastAsia"/>
          <w:szCs w:val="21"/>
        </w:rPr>
        <w:t>评价原则</w:t>
      </w:r>
      <w:bookmarkEnd w:id="47"/>
    </w:p>
    <w:p>
      <w:pPr>
        <w:pStyle w:val="106"/>
        <w:spacing w:before="156" w:after="156"/>
        <w:rPr>
          <w:szCs w:val="22"/>
        </w:rPr>
      </w:pPr>
      <w:bookmarkStart w:id="48" w:name="_Toc13854"/>
      <w:r>
        <w:rPr>
          <w:rFonts w:hint="eastAsia"/>
          <w:szCs w:val="22"/>
        </w:rPr>
        <w:t>客观性</w:t>
      </w:r>
      <w:bookmarkEnd w:id="48"/>
    </w:p>
    <w:p>
      <w:pPr>
        <w:pStyle w:val="57"/>
        <w:ind w:firstLine="420"/>
      </w:pPr>
      <w:r>
        <w:rPr>
          <w:rFonts w:hint="eastAsia"/>
        </w:rPr>
        <w:t>信息采集应合法、规范，评价数据应客观、真实、可靠。</w:t>
      </w:r>
    </w:p>
    <w:p>
      <w:pPr>
        <w:pStyle w:val="106"/>
        <w:spacing w:before="156" w:after="156"/>
      </w:pPr>
      <w:r>
        <w:rPr>
          <w:rFonts w:hint="eastAsia"/>
        </w:rPr>
        <w:t xml:space="preserve">科学性 </w:t>
      </w:r>
    </w:p>
    <w:p>
      <w:pPr>
        <w:pStyle w:val="57"/>
        <w:ind w:firstLine="420"/>
        <w:rPr>
          <w:rFonts w:ascii="仿宋_GB2312" w:hAnsi="仿宋_GB2312" w:eastAsia="仿宋_GB2312" w:cs="仿宋_GB2312"/>
          <w:sz w:val="32"/>
          <w:szCs w:val="32"/>
        </w:rPr>
      </w:pPr>
      <w:r>
        <w:rPr>
          <w:rFonts w:hint="eastAsia"/>
        </w:rPr>
        <w:t>评价指标设置应科学、合理，评价过程规范，评价结果可信。</w:t>
      </w:r>
    </w:p>
    <w:p>
      <w:pPr>
        <w:pStyle w:val="106"/>
        <w:spacing w:before="156" w:after="156"/>
      </w:pPr>
      <w:r>
        <w:rPr>
          <w:rFonts w:hint="eastAsia"/>
        </w:rPr>
        <w:t>公正性</w:t>
      </w:r>
    </w:p>
    <w:p>
      <w:pPr>
        <w:pStyle w:val="57"/>
        <w:ind w:firstLine="420"/>
      </w:pPr>
      <w:r>
        <w:rPr>
          <w:rFonts w:hint="eastAsia"/>
        </w:rPr>
        <w:t>评价应遵循独立、客观、公平、公正和诚实信用原则，遵守法律法规。</w:t>
      </w:r>
    </w:p>
    <w:p>
      <w:pPr>
        <w:pStyle w:val="106"/>
        <w:spacing w:before="156" w:after="156"/>
      </w:pPr>
      <w:r>
        <w:rPr>
          <w:rFonts w:hint="eastAsia"/>
        </w:rPr>
        <w:t>安全性</w:t>
      </w:r>
    </w:p>
    <w:p>
      <w:pPr>
        <w:pStyle w:val="57"/>
        <w:ind w:firstLine="420"/>
      </w:pPr>
      <w:r>
        <w:rPr>
          <w:rFonts w:hint="eastAsia"/>
        </w:rPr>
        <w:t>评价应遵循保密工作相关要求。</w:t>
      </w:r>
    </w:p>
    <w:p>
      <w:pPr>
        <w:pStyle w:val="105"/>
        <w:spacing w:before="312" w:after="312"/>
      </w:pPr>
      <w:bookmarkStart w:id="49" w:name="_Toc2979"/>
      <w:r>
        <w:rPr>
          <w:rFonts w:hint="eastAsia"/>
        </w:rPr>
        <w:t>信用评价规则</w:t>
      </w:r>
      <w:bookmarkEnd w:id="49"/>
    </w:p>
    <w:p>
      <w:pPr>
        <w:pStyle w:val="106"/>
        <w:spacing w:before="156" w:after="156"/>
      </w:pPr>
      <w:bookmarkStart w:id="50" w:name="_Toc8986"/>
      <w:r>
        <w:rPr>
          <w:rFonts w:hint="eastAsia"/>
        </w:rPr>
        <w:t>信用评价方法</w:t>
      </w:r>
      <w:bookmarkEnd w:id="50"/>
    </w:p>
    <w:p>
      <w:pPr>
        <w:pStyle w:val="66"/>
        <w:spacing w:before="156" w:after="156"/>
      </w:pPr>
      <w:r>
        <w:rPr>
          <w:rFonts w:hint="eastAsia"/>
        </w:rPr>
        <w:t>评价等级</w:t>
      </w:r>
    </w:p>
    <w:p>
      <w:pPr>
        <w:pStyle w:val="165"/>
      </w:pPr>
      <w:r>
        <w:rPr>
          <w:rFonts w:hint="eastAsia"/>
        </w:rPr>
        <w:t>信用评价采用千分制计分方式，按照分值从高到低分为A、B、C、D、E五个等级：</w:t>
      </w:r>
    </w:p>
    <w:p>
      <w:pPr>
        <w:pStyle w:val="175"/>
      </w:pPr>
      <w:r>
        <w:rPr>
          <w:rFonts w:hint="eastAsia"/>
        </w:rPr>
        <w:t>信用等级为A级的单位：在评价周期内消防安全领域信用优秀，具有维持高水平消防安全领域信用的主观意识、保障能力，并积极维护单位形象，承担社会责任；</w:t>
      </w:r>
    </w:p>
    <w:p>
      <w:pPr>
        <w:pStyle w:val="175"/>
      </w:pPr>
      <w:r>
        <w:rPr>
          <w:rFonts w:hint="eastAsia"/>
          <w:szCs w:val="22"/>
        </w:rPr>
        <w:t>信用等级为B级的单位：在评价周期内消防安全领域信用良好，具有维持消防安全领域信用的主观意识、保障能力，承担社会责任；</w:t>
      </w:r>
    </w:p>
    <w:p>
      <w:pPr>
        <w:pStyle w:val="175"/>
      </w:pPr>
      <w:r>
        <w:rPr>
          <w:rFonts w:hint="eastAsia"/>
          <w:szCs w:val="22"/>
        </w:rPr>
        <w:t>信用等级为C级单位：在评价周期内消防安全领域信用中等，维持消防安全领域信用的主观意识、保障能力尚可；</w:t>
      </w:r>
    </w:p>
    <w:p>
      <w:pPr>
        <w:pStyle w:val="175"/>
      </w:pPr>
      <w:r>
        <w:rPr>
          <w:rFonts w:hint="eastAsia"/>
          <w:szCs w:val="22"/>
        </w:rPr>
        <w:t>信用等级为D级单位：在评价周期内消防安全领域信用较差，维持消防安全领域信用的主观意识、保障能力较低，存在消防安全领域不良信用信息，但不存在消防安全领域严重失信行为；</w:t>
      </w:r>
    </w:p>
    <w:p>
      <w:pPr>
        <w:pStyle w:val="175"/>
      </w:pPr>
      <w:r>
        <w:rPr>
          <w:rFonts w:hint="eastAsia"/>
          <w:szCs w:val="22"/>
        </w:rPr>
        <w:t>信用等级为E级单位：在评价周期内消防安全领域信用差，不具备消防安全领域信用的主观意识、保障能力，存在消防安全领域严重失信行为。</w:t>
      </w:r>
    </w:p>
    <w:p>
      <w:pPr>
        <w:pStyle w:val="165"/>
      </w:pPr>
      <w:r>
        <w:rPr>
          <w:rFonts w:hint="eastAsia"/>
        </w:rPr>
        <w:t>信用评价采用定性定量相结合的原则，先定性后定量。定性评价见5.4、5.5。</w:t>
      </w:r>
    </w:p>
    <w:p>
      <w:pPr>
        <w:pStyle w:val="66"/>
        <w:spacing w:before="156" w:after="156"/>
      </w:pPr>
      <w:r>
        <w:rPr>
          <w:rFonts w:hint="eastAsia"/>
        </w:rPr>
        <w:t>评分方法</w:t>
      </w:r>
    </w:p>
    <w:p>
      <w:pPr>
        <w:pStyle w:val="165"/>
      </w:pPr>
      <w:r>
        <w:rPr>
          <w:rFonts w:hint="eastAsia"/>
        </w:rPr>
        <w:t>计分时，单位不存在D级、E级情形的，起评分为900分。单位存在D级、E级情形的，起评分分别为699分、599分。</w:t>
      </w:r>
    </w:p>
    <w:p>
      <w:pPr>
        <w:pStyle w:val="165"/>
      </w:pPr>
      <w:r>
        <w:rPr>
          <w:rFonts w:hint="eastAsia"/>
        </w:rPr>
        <w:t>加减分时，应对照附录A、附录B中所列加分、减分项，逐项进行核算。</w:t>
      </w:r>
    </w:p>
    <w:p>
      <w:pPr>
        <w:pStyle w:val="165"/>
      </w:pPr>
      <w:r>
        <w:rPr>
          <w:rFonts w:hint="eastAsia"/>
        </w:rPr>
        <w:t>特殊信息按照衰减的原则进行计分。</w:t>
      </w:r>
    </w:p>
    <w:p>
      <w:pPr>
        <w:pStyle w:val="66"/>
        <w:spacing w:before="156" w:after="156"/>
      </w:pPr>
      <w:r>
        <w:rPr>
          <w:rFonts w:hint="eastAsia"/>
        </w:rPr>
        <w:t>调级方法</w:t>
      </w:r>
    </w:p>
    <w:p>
      <w:pPr>
        <w:pStyle w:val="165"/>
      </w:pPr>
      <w:r>
        <w:rPr>
          <w:rFonts w:hint="eastAsia"/>
        </w:rPr>
        <w:t>单位连续三个评价周期被评为A级，第四个评价周期默认为A级。</w:t>
      </w:r>
    </w:p>
    <w:p>
      <w:pPr>
        <w:pStyle w:val="165"/>
      </w:pPr>
      <w:r>
        <w:rPr>
          <w:rFonts w:hint="eastAsia"/>
        </w:rPr>
        <w:t>单位存在D级、E级情形，评价结果分别不得高于D级、E级。</w:t>
      </w:r>
    </w:p>
    <w:p>
      <w:pPr>
        <w:pStyle w:val="165"/>
      </w:pPr>
      <w:r>
        <w:rPr>
          <w:rFonts w:hint="eastAsia"/>
        </w:rPr>
        <w:t>升级时，上一周期单位评价结果为D级、E级，本周期评价结果逐级递升，不得跳级。降级时，依据评定结果进行定级。</w:t>
      </w:r>
    </w:p>
    <w:p>
      <w:pPr>
        <w:pStyle w:val="106"/>
        <w:spacing w:before="156" w:after="156"/>
      </w:pPr>
      <w:bookmarkStart w:id="51" w:name="_Toc31504"/>
      <w:r>
        <w:rPr>
          <w:rFonts w:hint="eastAsia"/>
        </w:rPr>
        <w:t>信用评价周期</w:t>
      </w:r>
      <w:bookmarkEnd w:id="51"/>
    </w:p>
    <w:p>
      <w:pPr>
        <w:pStyle w:val="166"/>
      </w:pPr>
      <w:r>
        <w:rPr>
          <w:rFonts w:hint="eastAsia"/>
        </w:rPr>
        <w:t>信用评价周期为1年，自评价结果公示之日起开始计算。评价周期期满后方可参加下一周期评价。新增登记满一年的单位可参与信用评价。</w:t>
      </w:r>
    </w:p>
    <w:p>
      <w:pPr>
        <w:pStyle w:val="166"/>
      </w:pPr>
      <w:r>
        <w:rPr>
          <w:rFonts w:hint="eastAsia"/>
        </w:rPr>
        <w:t>单位发生消防领域有社会影响的重大事项的，评价主体应当及时动态调整信用等级。</w:t>
      </w:r>
    </w:p>
    <w:p>
      <w:pPr>
        <w:pStyle w:val="106"/>
        <w:spacing w:before="156" w:after="156"/>
      </w:pPr>
      <w:r>
        <w:rPr>
          <w:rFonts w:hint="eastAsia"/>
        </w:rPr>
        <w:t>信用评价内容</w:t>
      </w:r>
    </w:p>
    <w:p>
      <w:pPr>
        <w:pStyle w:val="66"/>
        <w:spacing w:before="156" w:after="156"/>
      </w:pPr>
      <w:r>
        <w:rPr>
          <w:rFonts w:hint="eastAsia"/>
        </w:rPr>
        <w:t>正面信用信息</w:t>
      </w:r>
    </w:p>
    <w:p>
      <w:pPr>
        <w:pStyle w:val="57"/>
        <w:ind w:firstLine="420"/>
      </w:pPr>
      <w:r>
        <w:rPr>
          <w:rFonts w:hint="eastAsia"/>
        </w:rPr>
        <w:t>主动开展信用承诺、提供消防公益服务、参加信用培训、受到消防领域表彰奖励、进行消防公益事业捐赠、主动提升火灾防控能力、行政检查合格等。</w:t>
      </w:r>
    </w:p>
    <w:p>
      <w:pPr>
        <w:pStyle w:val="66"/>
        <w:spacing w:before="156" w:after="156"/>
      </w:pPr>
      <w:r>
        <w:rPr>
          <w:rFonts w:hint="eastAsia"/>
        </w:rPr>
        <w:t>负面信用信息</w:t>
      </w:r>
    </w:p>
    <w:p>
      <w:pPr>
        <w:pStyle w:val="57"/>
        <w:ind w:firstLine="420"/>
      </w:pPr>
      <w:r>
        <w:rPr>
          <w:rFonts w:hint="eastAsia"/>
        </w:rPr>
        <w:t>负面信用信息是单位违反有关消防法律、法规、规章或标准等而产生的行政处罚、行政强制、被约谈、曝光、向社会发布提示等行政管理信息，以及火灾信息、消防安全承诺未履行信息等涉及消防安全的负面信用信息。</w:t>
      </w:r>
    </w:p>
    <w:p>
      <w:pPr>
        <w:pStyle w:val="106"/>
        <w:spacing w:before="156" w:after="156"/>
      </w:pPr>
      <w:r>
        <w:rPr>
          <w:rFonts w:hint="eastAsia"/>
        </w:rPr>
        <w:t>信用评价为D级的情形</w:t>
      </w:r>
    </w:p>
    <w:p>
      <w:pPr>
        <w:pStyle w:val="57"/>
        <w:ind w:firstLine="420"/>
      </w:pPr>
      <w:r>
        <w:rPr>
          <w:rFonts w:hint="eastAsia"/>
        </w:rPr>
        <w:t>单位有下列情形之一的，其信用评价直接从D级起评：</w:t>
      </w:r>
    </w:p>
    <w:p>
      <w:pPr>
        <w:pStyle w:val="175"/>
        <w:numPr>
          <w:ilvl w:val="0"/>
          <w:numId w:val="35"/>
        </w:numPr>
      </w:pPr>
      <w:r>
        <w:rPr>
          <w:rFonts w:hint="eastAsia"/>
        </w:rPr>
        <w:t>单位存在火灾隐患或者消防安全违法行为经消防救援机构通知后，逾期仍不整改的；</w:t>
      </w:r>
    </w:p>
    <w:p>
      <w:pPr>
        <w:pStyle w:val="175"/>
        <w:numPr>
          <w:ilvl w:val="0"/>
          <w:numId w:val="35"/>
        </w:numPr>
      </w:pPr>
      <w:r>
        <w:rPr>
          <w:rFonts w:hint="eastAsia"/>
          <w:szCs w:val="22"/>
        </w:rPr>
        <w:t>采用告知承诺制的公众聚集场所在投入使用、营业前未按规定做出消防安全承诺或承诺失实的；</w:t>
      </w:r>
    </w:p>
    <w:p>
      <w:pPr>
        <w:pStyle w:val="175"/>
        <w:numPr>
          <w:ilvl w:val="0"/>
          <w:numId w:val="35"/>
        </w:numPr>
        <w:rPr>
          <w:szCs w:val="22"/>
        </w:rPr>
      </w:pPr>
      <w:r>
        <w:rPr>
          <w:rFonts w:hint="eastAsia"/>
          <w:szCs w:val="22"/>
        </w:rPr>
        <w:t>单位对消防安全状况承诺失信的；</w:t>
      </w:r>
    </w:p>
    <w:p>
      <w:pPr>
        <w:pStyle w:val="175"/>
        <w:numPr>
          <w:ilvl w:val="0"/>
          <w:numId w:val="35"/>
        </w:numPr>
        <w:rPr>
          <w:szCs w:val="22"/>
        </w:rPr>
      </w:pPr>
      <w:r>
        <w:rPr>
          <w:rFonts w:hint="eastAsia"/>
          <w:szCs w:val="22"/>
        </w:rPr>
        <w:t>消防技术服务机构违规执业、承诺失实行为；</w:t>
      </w:r>
    </w:p>
    <w:p>
      <w:pPr>
        <w:pStyle w:val="175"/>
        <w:numPr>
          <w:ilvl w:val="0"/>
          <w:numId w:val="35"/>
        </w:numPr>
        <w:rPr>
          <w:szCs w:val="22"/>
        </w:rPr>
      </w:pPr>
      <w:r>
        <w:rPr>
          <w:rFonts w:hint="eastAsia"/>
          <w:szCs w:val="22"/>
        </w:rPr>
        <w:t>消防产品生产、销售企业违法违规行为；</w:t>
      </w:r>
    </w:p>
    <w:p>
      <w:pPr>
        <w:pStyle w:val="175"/>
        <w:numPr>
          <w:ilvl w:val="0"/>
          <w:numId w:val="35"/>
        </w:numPr>
        <w:rPr>
          <w:szCs w:val="22"/>
        </w:rPr>
      </w:pPr>
      <w:r>
        <w:rPr>
          <w:rFonts w:hint="eastAsia"/>
          <w:szCs w:val="22"/>
        </w:rPr>
        <w:t>消防产品认证、鉴定、检验机构违法违规行为；</w:t>
      </w:r>
    </w:p>
    <w:p>
      <w:pPr>
        <w:pStyle w:val="175"/>
        <w:numPr>
          <w:ilvl w:val="0"/>
          <w:numId w:val="35"/>
        </w:numPr>
        <w:rPr>
          <w:szCs w:val="22"/>
        </w:rPr>
      </w:pPr>
      <w:r>
        <w:rPr>
          <w:rFonts w:hint="eastAsia"/>
          <w:szCs w:val="22"/>
        </w:rPr>
        <w:t>单位超过法律规定的诉讼期限仍然不履行消防救援机构作出的罚款等行政处罚决定的；</w:t>
      </w:r>
    </w:p>
    <w:p>
      <w:pPr>
        <w:pStyle w:val="175"/>
        <w:numPr>
          <w:ilvl w:val="0"/>
          <w:numId w:val="35"/>
        </w:numPr>
        <w:rPr>
          <w:szCs w:val="22"/>
        </w:rPr>
      </w:pPr>
      <w:r>
        <w:rPr>
          <w:rFonts w:hint="eastAsia"/>
          <w:szCs w:val="22"/>
        </w:rPr>
        <w:t>从事生产经营的单位发生人员伤亡或较大以上火灾事故的；</w:t>
      </w:r>
    </w:p>
    <w:p>
      <w:pPr>
        <w:pStyle w:val="175"/>
        <w:numPr>
          <w:ilvl w:val="0"/>
          <w:numId w:val="35"/>
        </w:numPr>
        <w:rPr>
          <w:szCs w:val="22"/>
        </w:rPr>
      </w:pPr>
      <w:r>
        <w:rPr>
          <w:rFonts w:hint="eastAsia"/>
          <w:szCs w:val="22"/>
        </w:rPr>
        <w:t>建设单位要求建筑设计单位或者建筑施工企业降低消防技术标准设计、施工的；</w:t>
      </w:r>
    </w:p>
    <w:p>
      <w:pPr>
        <w:pStyle w:val="175"/>
        <w:numPr>
          <w:ilvl w:val="0"/>
          <w:numId w:val="35"/>
        </w:numPr>
        <w:rPr>
          <w:szCs w:val="22"/>
        </w:rPr>
      </w:pPr>
      <w:r>
        <w:rPr>
          <w:rFonts w:hint="eastAsia"/>
          <w:szCs w:val="22"/>
        </w:rPr>
        <w:t>建筑设计单位不按照消防技术标准强制性要求进行消防设计的；</w:t>
      </w:r>
    </w:p>
    <w:p>
      <w:pPr>
        <w:pStyle w:val="175"/>
        <w:numPr>
          <w:ilvl w:val="0"/>
          <w:numId w:val="35"/>
        </w:numPr>
        <w:rPr>
          <w:szCs w:val="22"/>
        </w:rPr>
      </w:pPr>
      <w:r>
        <w:rPr>
          <w:rFonts w:hint="eastAsia"/>
          <w:szCs w:val="22"/>
        </w:rPr>
        <w:t>建筑施工单位不按照消防设计文件和消防技术标准施工，降低消防施工质量的；</w:t>
      </w:r>
    </w:p>
    <w:p>
      <w:pPr>
        <w:pStyle w:val="175"/>
        <w:numPr>
          <w:ilvl w:val="0"/>
          <w:numId w:val="35"/>
        </w:numPr>
        <w:rPr>
          <w:szCs w:val="22"/>
        </w:rPr>
      </w:pPr>
      <w:r>
        <w:rPr>
          <w:rFonts w:hint="eastAsia"/>
          <w:szCs w:val="22"/>
        </w:rPr>
        <w:t>工程监理单位与建设单位或者建筑施工单位串通，弄虚作假，降低消防施工质量的；</w:t>
      </w:r>
    </w:p>
    <w:p>
      <w:pPr>
        <w:pStyle w:val="175"/>
        <w:numPr>
          <w:ilvl w:val="0"/>
          <w:numId w:val="35"/>
        </w:numPr>
        <w:rPr>
          <w:szCs w:val="22"/>
        </w:rPr>
      </w:pPr>
      <w:r>
        <w:rPr>
          <w:rFonts w:hint="eastAsia"/>
          <w:szCs w:val="22"/>
        </w:rPr>
        <w:t>单位占用、堵塞、封闭消防车通道，被处以罚款、拘留的。</w:t>
      </w:r>
    </w:p>
    <w:p>
      <w:pPr>
        <w:pStyle w:val="106"/>
        <w:spacing w:before="156" w:after="156"/>
      </w:pPr>
      <w:r>
        <w:rPr>
          <w:rFonts w:hint="eastAsia"/>
        </w:rPr>
        <w:t>信用评价为E级的情形</w:t>
      </w:r>
    </w:p>
    <w:p>
      <w:pPr>
        <w:pStyle w:val="57"/>
        <w:ind w:firstLine="420"/>
      </w:pPr>
      <w:r>
        <w:rPr>
          <w:rFonts w:hint="eastAsia"/>
        </w:rPr>
        <w:t>单位有下列情形之一的，其信用评价直接从E级起评：</w:t>
      </w:r>
    </w:p>
    <w:p>
      <w:pPr>
        <w:pStyle w:val="175"/>
        <w:numPr>
          <w:ilvl w:val="0"/>
          <w:numId w:val="36"/>
        </w:numPr>
      </w:pPr>
      <w:r>
        <w:rPr>
          <w:rFonts w:hint="eastAsia"/>
        </w:rPr>
        <w:t>单位存在重大火灾隐患，经消防救援机构通知后，故意拖延不积极整改或者因客观原因暂时不能整改未采取严密有效安全防范措施的；</w:t>
      </w:r>
    </w:p>
    <w:p>
      <w:pPr>
        <w:pStyle w:val="175"/>
        <w:numPr>
          <w:ilvl w:val="0"/>
          <w:numId w:val="36"/>
        </w:numPr>
      </w:pPr>
      <w:r>
        <w:rPr>
          <w:rFonts w:hint="eastAsia"/>
          <w:szCs w:val="22"/>
        </w:rPr>
        <w:t>未采用告知承诺制的公众聚集场所在投入使用、营业前未经消防安全检查合格的；</w:t>
      </w:r>
    </w:p>
    <w:p>
      <w:pPr>
        <w:pStyle w:val="175"/>
        <w:numPr>
          <w:ilvl w:val="0"/>
          <w:numId w:val="36"/>
        </w:numPr>
      </w:pPr>
      <w:r>
        <w:rPr>
          <w:rFonts w:hint="eastAsia"/>
          <w:szCs w:val="22"/>
        </w:rPr>
        <w:t>公众聚集场所在投入使用、营业前未按规定做出消防安全承诺以及虚假承诺，且存在重大火灾隐患的；</w:t>
      </w:r>
    </w:p>
    <w:p>
      <w:pPr>
        <w:pStyle w:val="175"/>
        <w:numPr>
          <w:ilvl w:val="0"/>
          <w:numId w:val="36"/>
        </w:numPr>
      </w:pPr>
      <w:r>
        <w:rPr>
          <w:rFonts w:hint="eastAsia"/>
          <w:szCs w:val="22"/>
        </w:rPr>
        <w:t>单位被消防救援机构抽查发现存在严重消防安全违法行为，经消防救援机构通知后，拒不改正的；</w:t>
      </w:r>
    </w:p>
    <w:p>
      <w:pPr>
        <w:pStyle w:val="175"/>
        <w:numPr>
          <w:ilvl w:val="0"/>
          <w:numId w:val="36"/>
        </w:numPr>
      </w:pPr>
      <w:r>
        <w:rPr>
          <w:rFonts w:hint="eastAsia"/>
          <w:szCs w:val="22"/>
        </w:rPr>
        <w:t>单位不执行消防救援机构作出的停产停业、停止使用决定。经催告，逾期仍不履行义务且无正当理由的；</w:t>
      </w:r>
    </w:p>
    <w:p>
      <w:pPr>
        <w:pStyle w:val="175"/>
        <w:numPr>
          <w:ilvl w:val="0"/>
          <w:numId w:val="36"/>
        </w:numPr>
      </w:pPr>
      <w:r>
        <w:rPr>
          <w:rFonts w:hint="eastAsia"/>
          <w:szCs w:val="22"/>
        </w:rPr>
        <w:t>单位擅自拆封或者使用被消防救援机构临时查封场所、部位的；</w:t>
      </w:r>
    </w:p>
    <w:p>
      <w:pPr>
        <w:pStyle w:val="175"/>
        <w:numPr>
          <w:ilvl w:val="0"/>
          <w:numId w:val="36"/>
        </w:numPr>
      </w:pPr>
      <w:r>
        <w:rPr>
          <w:rFonts w:hint="eastAsia"/>
          <w:szCs w:val="22"/>
        </w:rPr>
        <w:t>消防技术服务机构伪造消防技术服务文件或者出具严重失实文件的；</w:t>
      </w:r>
    </w:p>
    <w:p>
      <w:pPr>
        <w:pStyle w:val="175"/>
        <w:numPr>
          <w:ilvl w:val="0"/>
          <w:numId w:val="36"/>
        </w:numPr>
      </w:pPr>
      <w:r>
        <w:rPr>
          <w:rFonts w:hint="eastAsia"/>
          <w:szCs w:val="22"/>
        </w:rPr>
        <w:t>消防产品生产、销售企业违法违规生产、销售不合格或者国家明令淘汰消防产品数量较多、影响较大的；</w:t>
      </w:r>
    </w:p>
    <w:p>
      <w:pPr>
        <w:pStyle w:val="175"/>
        <w:numPr>
          <w:ilvl w:val="0"/>
          <w:numId w:val="36"/>
        </w:numPr>
      </w:pPr>
      <w:r>
        <w:rPr>
          <w:rFonts w:hint="eastAsia"/>
          <w:szCs w:val="22"/>
        </w:rPr>
        <w:t>消防产品认证、鉴定、检验机构违法违规开展认证、鉴定、检验工作次数较多、影响较大的；</w:t>
      </w:r>
    </w:p>
    <w:p>
      <w:pPr>
        <w:pStyle w:val="175"/>
        <w:numPr>
          <w:ilvl w:val="0"/>
          <w:numId w:val="36"/>
        </w:numPr>
      </w:pPr>
      <w:r>
        <w:rPr>
          <w:rFonts w:hint="eastAsia"/>
          <w:szCs w:val="22"/>
        </w:rPr>
        <w:t>单位未依法设立企业专职消防队并达到相应执勤能力的；</w:t>
      </w:r>
    </w:p>
    <w:p>
      <w:pPr>
        <w:pStyle w:val="175"/>
        <w:numPr>
          <w:ilvl w:val="0"/>
          <w:numId w:val="36"/>
        </w:numPr>
      </w:pPr>
      <w:r>
        <w:rPr>
          <w:rFonts w:hint="eastAsia"/>
          <w:szCs w:val="22"/>
        </w:rPr>
        <w:t>单位扰乱火灾现场秩序，或者拒不执行火灾现场指挥员指挥，影响灭火救援的；</w:t>
      </w:r>
    </w:p>
    <w:p>
      <w:pPr>
        <w:pStyle w:val="175"/>
        <w:numPr>
          <w:ilvl w:val="0"/>
          <w:numId w:val="36"/>
        </w:numPr>
      </w:pPr>
      <w:r>
        <w:rPr>
          <w:rFonts w:hint="eastAsia"/>
          <w:szCs w:val="22"/>
        </w:rPr>
        <w:t>单位故意破坏或者伪造火灾现场的；</w:t>
      </w:r>
    </w:p>
    <w:p>
      <w:pPr>
        <w:pStyle w:val="175"/>
        <w:numPr>
          <w:ilvl w:val="0"/>
          <w:numId w:val="36"/>
        </w:numPr>
      </w:pPr>
      <w:r>
        <w:rPr>
          <w:rFonts w:hint="eastAsia"/>
          <w:szCs w:val="22"/>
        </w:rPr>
        <w:t>经火灾事故调查认定，对亡人或重大社会影响的火灾事故负有主要责任的工程建设、中介服务、消防产品质量、使用管理等单位；</w:t>
      </w:r>
    </w:p>
    <w:p>
      <w:pPr>
        <w:pStyle w:val="175"/>
        <w:numPr>
          <w:ilvl w:val="0"/>
          <w:numId w:val="36"/>
        </w:numPr>
      </w:pPr>
      <w:r>
        <w:rPr>
          <w:rFonts w:hint="eastAsia"/>
          <w:szCs w:val="22"/>
        </w:rPr>
        <w:t>单位不履行法定消防安全主体责任，存在消防违法行为，其从事生产经营的场所发生亡人和较大以上火灾事故的；</w:t>
      </w:r>
    </w:p>
    <w:p>
      <w:pPr>
        <w:pStyle w:val="175"/>
        <w:numPr>
          <w:ilvl w:val="0"/>
          <w:numId w:val="36"/>
        </w:numPr>
      </w:pPr>
      <w:r>
        <w:rPr>
          <w:rFonts w:hint="eastAsia"/>
          <w:szCs w:val="22"/>
        </w:rPr>
        <w:t>依法应当进行消防设计审查的建设工程，建设单位未经依法审查或者审查不合格，擅自施工的；</w:t>
      </w:r>
    </w:p>
    <w:p>
      <w:pPr>
        <w:pStyle w:val="175"/>
        <w:numPr>
          <w:ilvl w:val="0"/>
          <w:numId w:val="36"/>
        </w:numPr>
      </w:pPr>
      <w:r>
        <w:rPr>
          <w:rFonts w:hint="eastAsia"/>
          <w:szCs w:val="22"/>
        </w:rPr>
        <w:t>依法应当进行消防验收的建设工程，建设单位未经消防验收或者消防验收不合格，擅自投入使用的；</w:t>
      </w:r>
    </w:p>
    <w:p>
      <w:pPr>
        <w:pStyle w:val="175"/>
        <w:numPr>
          <w:ilvl w:val="0"/>
          <w:numId w:val="36"/>
        </w:numPr>
      </w:pPr>
      <w:r>
        <w:rPr>
          <w:rFonts w:hint="eastAsia"/>
          <w:szCs w:val="22"/>
        </w:rPr>
        <w:t>单位信用信息弄虚作假的；</w:t>
      </w:r>
    </w:p>
    <w:p>
      <w:pPr>
        <w:pStyle w:val="175"/>
        <w:numPr>
          <w:ilvl w:val="0"/>
          <w:numId w:val="36"/>
        </w:numPr>
      </w:pPr>
      <w:r>
        <w:rPr>
          <w:rFonts w:hint="eastAsia"/>
          <w:szCs w:val="22"/>
        </w:rPr>
        <w:t>单位有两个及以上D级的情形。</w:t>
      </w:r>
    </w:p>
    <w:p>
      <w:pPr>
        <w:pStyle w:val="106"/>
        <w:spacing w:before="156" w:after="156"/>
      </w:pPr>
      <w:r>
        <w:rPr>
          <w:rFonts w:hint="eastAsia"/>
        </w:rPr>
        <w:t>信用等级核定</w:t>
      </w:r>
    </w:p>
    <w:p>
      <w:pPr>
        <w:pStyle w:val="57"/>
        <w:ind w:firstLine="420"/>
      </w:pPr>
      <w:r>
        <w:rPr>
          <w:rFonts w:hint="eastAsia"/>
        </w:rPr>
        <w:t>信用等级根据最终分值进行核定：</w:t>
      </w:r>
    </w:p>
    <w:p>
      <w:pPr>
        <w:pStyle w:val="175"/>
        <w:numPr>
          <w:ilvl w:val="0"/>
          <w:numId w:val="37"/>
        </w:numPr>
      </w:pPr>
      <w:r>
        <w:rPr>
          <w:rFonts w:hint="eastAsia"/>
        </w:rPr>
        <w:t>评分951分及以上的，信用等级为A级；</w:t>
      </w:r>
    </w:p>
    <w:p>
      <w:pPr>
        <w:pStyle w:val="175"/>
        <w:numPr>
          <w:ilvl w:val="0"/>
          <w:numId w:val="37"/>
        </w:numPr>
      </w:pPr>
      <w:r>
        <w:rPr>
          <w:rFonts w:hint="eastAsia"/>
          <w:szCs w:val="22"/>
        </w:rPr>
        <w:t>评分851分至950分的，信用等级为B级；</w:t>
      </w:r>
    </w:p>
    <w:p>
      <w:pPr>
        <w:pStyle w:val="175"/>
        <w:numPr>
          <w:ilvl w:val="0"/>
          <w:numId w:val="37"/>
        </w:numPr>
      </w:pPr>
      <w:r>
        <w:rPr>
          <w:rFonts w:hint="eastAsia"/>
          <w:szCs w:val="22"/>
        </w:rPr>
        <w:t>评分701分至850分的，信用等级为C级；</w:t>
      </w:r>
    </w:p>
    <w:p>
      <w:pPr>
        <w:pStyle w:val="175"/>
        <w:numPr>
          <w:ilvl w:val="0"/>
          <w:numId w:val="37"/>
        </w:numPr>
      </w:pPr>
      <w:r>
        <w:rPr>
          <w:rFonts w:hint="eastAsia"/>
          <w:szCs w:val="22"/>
        </w:rPr>
        <w:t>评分601分至700分的，信用等级为D级；</w:t>
      </w:r>
    </w:p>
    <w:p>
      <w:pPr>
        <w:pStyle w:val="175"/>
        <w:numPr>
          <w:ilvl w:val="0"/>
          <w:numId w:val="37"/>
        </w:numPr>
      </w:pPr>
      <w:r>
        <w:rPr>
          <w:rFonts w:hint="eastAsia"/>
          <w:szCs w:val="22"/>
        </w:rPr>
        <w:t>评分600分及以下的，信用等级为E级。</w:t>
      </w:r>
    </w:p>
    <w:p>
      <w:pPr>
        <w:pStyle w:val="175"/>
        <w:numPr>
          <w:ilvl w:val="0"/>
          <w:numId w:val="37"/>
        </w:numPr>
        <w:sectPr>
          <w:pgSz w:w="11906" w:h="16838"/>
          <w:pgMar w:top="567" w:right="1134" w:bottom="1134" w:left="1134" w:header="1418" w:footer="1134" w:gutter="284"/>
          <w:pgNumType w:start="1"/>
          <w:cols w:space="425" w:num="1"/>
          <w:formProt w:val="0"/>
          <w:docGrid w:type="lines" w:linePitch="312" w:charSpace="0"/>
        </w:sectPr>
      </w:pPr>
    </w:p>
    <w:bookmarkEnd w:id="24"/>
    <w:p>
      <w:pPr>
        <w:pStyle w:val="199"/>
        <w:rPr>
          <w:vanish w:val="0"/>
        </w:rPr>
      </w:pPr>
      <w:bookmarkStart w:id="52" w:name="BookMark5"/>
    </w:p>
    <w:p>
      <w:pPr>
        <w:pStyle w:val="200"/>
        <w:rPr>
          <w:vanish w:val="0"/>
        </w:rPr>
      </w:pPr>
    </w:p>
    <w:p>
      <w:pPr>
        <w:pStyle w:val="77"/>
        <w:spacing w:before="78" w:after="156"/>
        <w:ind w:left="0"/>
      </w:pPr>
      <w:r>
        <w:br w:type="textWrapping"/>
      </w:r>
      <w:r>
        <w:rPr>
          <w:rFonts w:hint="eastAsia"/>
        </w:rPr>
        <w:t>（规范性）</w:t>
      </w:r>
      <w:r>
        <w:br w:type="textWrapping"/>
      </w:r>
      <w:r>
        <w:rPr>
          <w:rFonts w:hint="eastAsia"/>
        </w:rPr>
        <w:t>消防安全领域信用评价正面、负面信息</w:t>
      </w:r>
    </w:p>
    <w:p>
      <w:pPr>
        <w:pStyle w:val="57"/>
        <w:ind w:firstLine="420"/>
      </w:pPr>
      <w:r>
        <w:rPr>
          <w:rFonts w:hint="eastAsia"/>
        </w:rPr>
        <w:t>消防安全领域信用评价正面、负面信息见表A.1。</w:t>
      </w:r>
    </w:p>
    <w:p>
      <w:pPr>
        <w:pStyle w:val="78"/>
        <w:spacing w:before="156" w:after="156"/>
      </w:pPr>
      <w:r>
        <w:rPr>
          <w:rFonts w:hint="eastAsia"/>
        </w:rPr>
        <w:t>消防安全领域信用评价正面、负面信息</w:t>
      </w:r>
    </w:p>
    <w:tbl>
      <w:tblPr>
        <w:tblStyle w:val="2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701"/>
        <w:gridCol w:w="45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一级指标</w:t>
            </w: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二级指标</w:t>
            </w:r>
          </w:p>
        </w:tc>
        <w:tc>
          <w:tcPr>
            <w:tcW w:w="4536"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加分/扣分项</w:t>
            </w:r>
          </w:p>
        </w:tc>
        <w:tc>
          <w:tcPr>
            <w:tcW w:w="1418"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信息路径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正面信息</w:t>
            </w:r>
          </w:p>
          <w:p>
            <w:pPr>
              <w:pStyle w:val="235"/>
              <w:adjustRightInd w:val="0"/>
              <w:snapToGrid w:val="0"/>
              <w:ind w:firstLine="0" w:firstLineChars="0"/>
              <w:jc w:val="center"/>
              <w:rPr>
                <w:rFonts w:hAnsi="宋体" w:cs="黑体"/>
                <w:sz w:val="18"/>
                <w:szCs w:val="18"/>
              </w:rPr>
            </w:pPr>
            <w:r>
              <w:rPr>
                <w:rFonts w:hint="eastAsia" w:hAnsi="宋体" w:cs="黑体"/>
                <w:sz w:val="18"/>
                <w:szCs w:val="18"/>
              </w:rPr>
              <w:t>（加分项）</w:t>
            </w: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主动开展信用承诺（20分）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在信用中国（天津）主动进行主动公示型、行业自律型、自主申报型信用承诺，同一类型最高加10分，累计最高加20分。</w:t>
            </w:r>
          </w:p>
        </w:tc>
        <w:tc>
          <w:tcPr>
            <w:tcW w:w="1418"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单位主动提供证明材料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提供消防公益服务（20分）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主动开展消防公益服务，一次加10分，累计最高加20分。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进行消防公益事业捐赠（20分）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主动开展消防公益事业捐赠，按照周期综合赋分，最高加20分。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1" w:type="dxa"/>
            <w:gridSpan w:val="2"/>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参加信用培训（20分）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主动进行信用管理师、信用修复等培训，一次加10分，累计最高加20分。</w:t>
            </w:r>
          </w:p>
        </w:tc>
        <w:tc>
          <w:tcPr>
            <w:tcW w:w="1418" w:type="dxa"/>
            <w:vMerge w:val="continue"/>
            <w:tcBorders>
              <w:left w:val="single" w:color="auto" w:sz="4" w:space="0"/>
              <w:right w:val="single" w:color="auto" w:sz="4" w:space="0"/>
            </w:tcBorders>
          </w:tcPr>
          <w:p>
            <w:pPr>
              <w:pStyle w:val="235"/>
              <w:adjustRightInd w:val="0"/>
              <w:snapToGrid w:val="0"/>
              <w:ind w:firstLine="0" w:firstLineChars="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受到消防领域表彰奖励（30分）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消防工作突出，获得区级表彰的，一项加10分，获得市级表彰的，一项加20分，获得国家级表彰的，一项加30分。累计最高加30分。以证书时间为准，每个评价周期递减10分。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主动提升火灾防控能力（40分）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主动开展消防安全评估、采用消防新技术新产品、投保火灾保险、增设自动消防设施、接入消防物联网、开展消防标准试点建设、聘请注册消防工程师、信用管理师、高级消防设施操作员等，一项加10分。累计最高加40分。</w:t>
            </w:r>
          </w:p>
        </w:tc>
        <w:tc>
          <w:tcPr>
            <w:tcW w:w="1418" w:type="dxa"/>
            <w:vMerge w:val="continue"/>
            <w:tcBorders>
              <w:left w:val="single" w:color="auto" w:sz="4" w:space="0"/>
              <w:bottom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vMerge w:val="continue"/>
            <w:tcBorders>
              <w:left w:val="single" w:color="auto" w:sz="4" w:space="0"/>
              <w:bottom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行政检查（60分）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评价周期内，检查合格的，一次加20分，累计最高加60分。</w:t>
            </w:r>
          </w:p>
        </w:tc>
        <w:tc>
          <w:tcPr>
            <w:tcW w:w="1418" w:type="dxa"/>
            <w:tcBorders>
              <w:left w:val="single" w:color="auto" w:sz="4" w:space="0"/>
              <w:bottom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负面信息（减分项）</w:t>
            </w:r>
          </w:p>
        </w:tc>
        <w:tc>
          <w:tcPr>
            <w:tcW w:w="850"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消防行政管理信息</w:t>
            </w: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行政检查（60分）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评价周期内，检查不合格的，一次扣20分，累计最高扣60分。</w:t>
            </w:r>
          </w:p>
        </w:tc>
        <w:tc>
          <w:tcPr>
            <w:tcW w:w="1418"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单位主动提供证明材料或者在行政机关公开网站查询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行政强制（60分）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评价周期内单位受到一次行政强制的扣30分，累计最高扣60分。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重大火灾隐患判定（110分）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评价周期内单位被判定为重大火灾隐患单位的，扣110分。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行政处罚（300分）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评价周期内受到行政处罚的，按照三级指标（表B.1）执行，依违法情节分别扣除50、70、90、110分，累计最高扣除300分。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continue"/>
            <w:tcBorders>
              <w:left w:val="single" w:color="auto" w:sz="4" w:space="0"/>
              <w:bottom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其他行政管理措施（60分）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评价周期内单位被约谈、曝光、向社会发布提示的，一次扣20分，累计最高扣60分。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火灾信息</w:t>
            </w: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一般火灾（60分）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评价周期内单位发生一般火灾，无人员伤亡的，每起扣150分。每个评价周期递减100分；有人员伤亡的，每起扣50分。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850" w:type="dxa"/>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较大火灾（100分）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评价周期内单位发生较大火灾的，每起扣100分。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850" w:type="dxa"/>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重大火灾（200分）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评价周期内单位发生重大火灾的，每起扣200分。每个评价周期递减100分。</w:t>
            </w:r>
          </w:p>
        </w:tc>
        <w:tc>
          <w:tcPr>
            <w:tcW w:w="1418" w:type="dxa"/>
            <w:vMerge w:val="continue"/>
            <w:tcBorders>
              <w:left w:val="single" w:color="auto" w:sz="4" w:space="0"/>
              <w:right w:val="single" w:color="auto" w:sz="4" w:space="0"/>
            </w:tcBorders>
          </w:tcPr>
          <w:p>
            <w:pPr>
              <w:pStyle w:val="235"/>
              <w:adjustRightInd w:val="0"/>
              <w:snapToGrid w:val="0"/>
              <w:ind w:firstLine="0" w:firstLineChars="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850" w:type="dxa"/>
            <w:vMerge w:val="continue"/>
            <w:tcBorders>
              <w:left w:val="single" w:color="auto" w:sz="4" w:space="0"/>
              <w:bottom w:val="single" w:color="auto" w:sz="4" w:space="0"/>
              <w:right w:val="single" w:color="auto" w:sz="4" w:space="0"/>
            </w:tcBorders>
            <w:vAlign w:val="center"/>
          </w:tcPr>
          <w:p>
            <w:pPr>
              <w:pStyle w:val="235"/>
              <w:adjustRightInd w:val="0"/>
              <w:snapToGrid w:val="0"/>
              <w:ind w:firstLine="360"/>
              <w:jc w:val="center"/>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特大火灾（300分）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评价周期内单位发生特大火灾的，每起扣300分。每个评价周期递减100分。</w:t>
            </w:r>
          </w:p>
        </w:tc>
        <w:tc>
          <w:tcPr>
            <w:tcW w:w="1418" w:type="dxa"/>
            <w:vMerge w:val="continue"/>
            <w:tcBorders>
              <w:left w:val="single" w:color="auto" w:sz="4" w:space="0"/>
              <w:right w:val="single" w:color="auto" w:sz="4" w:space="0"/>
            </w:tcBorders>
          </w:tcPr>
          <w:p>
            <w:pPr>
              <w:pStyle w:val="235"/>
              <w:adjustRightInd w:val="0"/>
              <w:snapToGrid w:val="0"/>
              <w:ind w:firstLine="0" w:firstLineChars="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p>
        </w:tc>
        <w:tc>
          <w:tcPr>
            <w:tcW w:w="850" w:type="dxa"/>
            <w:vMerge w:val="restart"/>
            <w:tcBorders>
              <w:top w:val="single" w:color="auto" w:sz="4" w:space="0"/>
              <w:left w:val="single" w:color="auto" w:sz="4" w:space="0"/>
              <w:right w:val="single" w:color="auto" w:sz="4" w:space="0"/>
            </w:tcBorders>
            <w:vAlign w:val="center"/>
          </w:tcPr>
          <w:p>
            <w:pPr>
              <w:pStyle w:val="235"/>
              <w:adjustRightInd w:val="0"/>
              <w:snapToGrid w:val="0"/>
              <w:ind w:firstLine="0" w:firstLineChars="0"/>
              <w:jc w:val="center"/>
              <w:rPr>
                <w:rFonts w:hAnsi="宋体" w:cs="黑体"/>
                <w:sz w:val="18"/>
                <w:szCs w:val="18"/>
              </w:rPr>
            </w:pPr>
            <w:r>
              <w:rPr>
                <w:rFonts w:hint="eastAsia" w:hAnsi="宋体" w:cs="黑体"/>
                <w:sz w:val="18"/>
                <w:szCs w:val="18"/>
              </w:rPr>
              <w:t>消防安全承诺未履行信息</w:t>
            </w: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行业自律型承诺未履行（20分）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评价周期内单位行业自律型承诺未履行的，每次扣20分。</w:t>
            </w:r>
          </w:p>
        </w:tc>
        <w:tc>
          <w:tcPr>
            <w:tcW w:w="1418" w:type="dxa"/>
            <w:vMerge w:val="continue"/>
            <w:tcBorders>
              <w:left w:val="single" w:color="auto" w:sz="4" w:space="0"/>
              <w:right w:val="single" w:color="auto" w:sz="4" w:space="0"/>
            </w:tcBorders>
          </w:tcPr>
          <w:p>
            <w:pPr>
              <w:pStyle w:val="235"/>
              <w:adjustRightInd w:val="0"/>
              <w:snapToGrid w:val="0"/>
              <w:ind w:firstLine="360"/>
              <w:rPr>
                <w:rFonts w:hAnsi="宋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Borders>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p>
        </w:tc>
        <w:tc>
          <w:tcPr>
            <w:tcW w:w="850" w:type="dxa"/>
            <w:vMerge w:val="continue"/>
            <w:tcBorders>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35"/>
              <w:adjustRightInd w:val="0"/>
              <w:snapToGrid w:val="0"/>
              <w:ind w:firstLine="0" w:firstLineChars="0"/>
              <w:rPr>
                <w:rFonts w:hAnsi="宋体" w:cs="黑体"/>
                <w:sz w:val="18"/>
                <w:szCs w:val="18"/>
              </w:rPr>
            </w:pPr>
            <w:r>
              <w:rPr>
                <w:rFonts w:hint="eastAsia" w:hAnsi="宋体" w:cs="黑体"/>
                <w:sz w:val="18"/>
                <w:szCs w:val="18"/>
              </w:rPr>
              <w:t>审批替代型承诺未履行（100分）</w:t>
            </w:r>
          </w:p>
        </w:tc>
        <w:tc>
          <w:tcPr>
            <w:tcW w:w="4536" w:type="dxa"/>
            <w:tcBorders>
              <w:top w:val="single" w:color="auto" w:sz="4" w:space="0"/>
              <w:left w:val="single" w:color="auto" w:sz="4" w:space="0"/>
              <w:bottom w:val="single" w:color="auto" w:sz="4" w:space="0"/>
              <w:right w:val="single" w:color="auto" w:sz="4" w:space="0"/>
            </w:tcBorders>
          </w:tcPr>
          <w:p>
            <w:pPr>
              <w:pStyle w:val="235"/>
              <w:adjustRightInd w:val="0"/>
              <w:snapToGrid w:val="0"/>
              <w:ind w:firstLine="0" w:firstLineChars="0"/>
              <w:rPr>
                <w:rFonts w:hAnsi="宋体" w:cs="黑体"/>
                <w:sz w:val="18"/>
                <w:szCs w:val="18"/>
              </w:rPr>
            </w:pPr>
            <w:r>
              <w:rPr>
                <w:rFonts w:hint="eastAsia" w:hAnsi="宋体" w:cs="黑体"/>
                <w:sz w:val="18"/>
                <w:szCs w:val="18"/>
              </w:rPr>
              <w:t>评价周期内单位审批替代型承诺未履行的，每次扣100分。</w:t>
            </w:r>
          </w:p>
        </w:tc>
        <w:tc>
          <w:tcPr>
            <w:tcW w:w="1418" w:type="dxa"/>
            <w:vMerge w:val="continue"/>
            <w:tcBorders>
              <w:left w:val="single" w:color="auto" w:sz="4" w:space="0"/>
              <w:bottom w:val="single" w:color="auto" w:sz="4" w:space="0"/>
              <w:right w:val="single" w:color="auto" w:sz="4" w:space="0"/>
            </w:tcBorders>
          </w:tcPr>
          <w:p>
            <w:pPr>
              <w:pStyle w:val="235"/>
              <w:adjustRightInd w:val="0"/>
              <w:snapToGrid w:val="0"/>
              <w:ind w:firstLine="360"/>
              <w:rPr>
                <w:rFonts w:hAnsi="宋体" w:cs="黑体"/>
                <w:sz w:val="18"/>
                <w:szCs w:val="18"/>
              </w:rPr>
            </w:pPr>
          </w:p>
        </w:tc>
      </w:tr>
    </w:tbl>
    <w:p>
      <w:pPr>
        <w:pStyle w:val="57"/>
        <w:ind w:firstLine="420"/>
        <w:sectPr>
          <w:pgSz w:w="11906" w:h="16838"/>
          <w:pgMar w:top="567"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before="78" w:after="156"/>
        <w:ind w:left="0"/>
      </w:pPr>
      <w:r>
        <w:br w:type="textWrapping"/>
      </w:r>
      <w:r>
        <w:rPr>
          <w:rFonts w:hint="eastAsia"/>
        </w:rPr>
        <w:t>（规范性）</w:t>
      </w:r>
      <w:r>
        <w:br w:type="textWrapping"/>
      </w:r>
      <w:r>
        <w:rPr>
          <w:rFonts w:hint="eastAsia"/>
        </w:rPr>
        <w:t>消防行政处罚违法行为减分表</w:t>
      </w:r>
    </w:p>
    <w:p>
      <w:pPr>
        <w:pStyle w:val="57"/>
        <w:ind w:firstLine="420"/>
      </w:pPr>
      <w:r>
        <w:rPr>
          <w:rFonts w:hint="eastAsia"/>
        </w:rPr>
        <w:t>消防行政处罚违法行为减分表见表B.1。</w:t>
      </w:r>
    </w:p>
    <w:p>
      <w:pPr>
        <w:pStyle w:val="78"/>
        <w:spacing w:before="156" w:after="156"/>
      </w:pPr>
      <w:r>
        <w:rPr>
          <w:rFonts w:hint="eastAsia"/>
        </w:rPr>
        <w:t>消防行政处罚违法行为减分表</w:t>
      </w:r>
    </w:p>
    <w:tbl>
      <w:tblPr>
        <w:tblStyle w:val="27"/>
        <w:tblW w:w="935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50"/>
        <w:gridCol w:w="7654"/>
        <w:gridCol w:w="8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8" w:hRule="atLeast"/>
          <w:jc w:val="center"/>
        </w:trPr>
        <w:tc>
          <w:tcPr>
            <w:tcW w:w="850" w:type="dxa"/>
            <w:tcBorders>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序号</w:t>
            </w:r>
          </w:p>
        </w:tc>
        <w:tc>
          <w:tcPr>
            <w:tcW w:w="7654"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违法行为</w:t>
            </w:r>
          </w:p>
        </w:tc>
        <w:tc>
          <w:tcPr>
            <w:tcW w:w="847" w:type="dxa"/>
            <w:tcBorders>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扣分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59"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物业服务企业未履行消防安全职责的</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4"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因维修等需要停用建筑消防设施未进行公告、未制定应急预案或者未落实防范措施</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9"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3</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高层民用建筑设置的户外广告牌、外装饰妨碍防烟排烟、逃生和灭火救援或者改变、破坏建筑立面防火结构</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9"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4</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高层民用建筑未设置外墙外保温材料提示性和警示性标识或者未及时修复破损、开裂和脱落的外墙外保温系统</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9"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5</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高层民用建筑未按照规定落实消防控制室值班制度或者安排不具备相应条件的人员在消防控制室值班</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7"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6</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高层民用建筑未按照规定建立专职消防队、志愿消防队等消防组织</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21"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消防控制室未设24小时专人值班</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8</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消防控制室每班值班人数少于2人</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7"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消防技术服务机构出具的消防安全技术文件未经注册消防工程师签名、加盖执业印章</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3"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10</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消防技术服务机构未在维护保养的消防设施所在建筑的醒目位置上公示消防技术服务信息</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spacing w:line="240" w:lineRule="auto"/>
              <w:jc w:val="center"/>
              <w:rPr>
                <w:rFonts w:ascii="宋体" w:hAnsi="宋体" w:cs="黑体"/>
                <w:sz w:val="18"/>
                <w:szCs w:val="18"/>
              </w:rPr>
            </w:pPr>
            <w:r>
              <w:rPr>
                <w:rFonts w:hint="eastAsia" w:ascii="宋体" w:hAnsi="宋体" w:cs="黑体"/>
                <w:sz w:val="18"/>
                <w:szCs w:val="18"/>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9"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11</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在高层民用建筑内进行电焊、气焊等明火作业，未履行动火审批手续、进行公告或者未落实消防现场监护措施</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7"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12</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生产、储存、经营易燃易爆危险品场所未与居住场所保持安全距离</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5"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13</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生产、储存、经营其他物品的场所与居住场所设置在同一建筑物内不符合消防技术标准</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6" w:hRule="atLeast"/>
          <w:jc w:val="center"/>
        </w:trPr>
        <w:tc>
          <w:tcPr>
            <w:tcW w:w="850" w:type="dxa"/>
            <w:tcBorders>
              <w:top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14</w:t>
            </w:r>
          </w:p>
        </w:tc>
        <w:tc>
          <w:tcPr>
            <w:tcW w:w="765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消防设施、器材、消防安全标志配置、设置不符合标准</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1"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15</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消防设施、器材、消防安全标志未保持完好有效</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8"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16</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损坏、挪用消防设施、器材</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6"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17</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擅自拆除、停用消防设施、器材</w:t>
            </w:r>
          </w:p>
        </w:tc>
        <w:tc>
          <w:tcPr>
            <w:tcW w:w="847" w:type="dxa"/>
            <w:tcBorders>
              <w:top w:val="single" w:color="000000" w:sz="4" w:space="0"/>
              <w:lef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3"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18</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占用、堵塞、封闭疏散通道、安全出口以及其他妨碍安全疏散行为</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4"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19</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埋压、圈占、遮挡消火栓</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5"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20</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占用防火间距</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78"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21</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门窗设置影响逃生、灭火救援的障碍物</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73"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22</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单位在高层民用建筑的公共门厅、疏散走道、楼梯间、安全出口停放电动自行车或者为电动自行车充电，拒不改正的</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-90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58"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23</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生产、储存、经营易燃易爆危险品场所与居住场所设置在同一建筑物内</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0" w:hRule="atLeast"/>
          <w:jc w:val="center"/>
        </w:trPr>
        <w:tc>
          <w:tcPr>
            <w:tcW w:w="85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24</w:t>
            </w:r>
          </w:p>
        </w:tc>
        <w:tc>
          <w:tcPr>
            <w:tcW w:w="76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left"/>
              <w:textAlignment w:val="center"/>
              <w:rPr>
                <w:rFonts w:ascii="宋体" w:hAnsi="宋体" w:cs="黑体"/>
                <w:sz w:val="18"/>
                <w:szCs w:val="18"/>
              </w:rPr>
            </w:pPr>
            <w:r>
              <w:rPr>
                <w:rFonts w:hint="eastAsia" w:ascii="宋体" w:hAnsi="宋体" w:cs="黑体"/>
                <w:sz w:val="18"/>
                <w:szCs w:val="18"/>
              </w:rPr>
              <w:t>在人员密集场所营业、使用期间进行电焊、气焊、气割、油漆、砂轮切割等具有火灾危险的施工、维修作业的</w:t>
            </w:r>
          </w:p>
        </w:tc>
        <w:tc>
          <w:tcPr>
            <w:tcW w:w="847"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spacing w:line="240" w:lineRule="auto"/>
              <w:jc w:val="center"/>
              <w:textAlignment w:val="center"/>
              <w:rPr>
                <w:rFonts w:ascii="宋体" w:hAnsi="宋体" w:cs="黑体"/>
                <w:sz w:val="18"/>
                <w:szCs w:val="18"/>
              </w:rPr>
            </w:pPr>
            <w:r>
              <w:rPr>
                <w:rFonts w:hint="eastAsia" w:ascii="宋体" w:hAnsi="宋体" w:cs="黑体"/>
                <w:sz w:val="18"/>
                <w:szCs w:val="18"/>
              </w:rPr>
              <w:t>-110</w:t>
            </w:r>
          </w:p>
        </w:tc>
      </w:tr>
      <w:bookmarkEnd w:id="52"/>
    </w:tbl>
    <w:p>
      <w:pPr>
        <w:pStyle w:val="57"/>
        <w:ind w:firstLine="0" w:firstLineChars="0"/>
        <w:jc w:val="center"/>
      </w:pPr>
      <w:bookmarkStart w:id="5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53"/>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DB12/T 1176—2022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DB12/T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9"/>
      <w:suff w:val="nothing"/>
      <w:lvlText w:val="%1.%2.%3　"/>
      <w:lvlJc w:val="left"/>
      <w:pPr>
        <w:ind w:left="0" w:firstLine="0"/>
      </w:pPr>
      <w:rPr>
        <w:rFonts w:hint="eastAsia" w:ascii="黑体" w:hAnsi="Times New Roman" w:eastAsia="黑体"/>
        <w:b w:val="0"/>
        <w:i w:val="0"/>
        <w:sz w:val="21"/>
      </w:rPr>
    </w:lvl>
    <w:lvl w:ilvl="3" w:tentative="0">
      <w:start w:val="1"/>
      <w:numFmt w:val="decimal"/>
      <w:pStyle w:val="240"/>
      <w:suff w:val="nothing"/>
      <w:lvlText w:val="%1.%2.%3.%4　"/>
      <w:lvlJc w:val="left"/>
      <w:pPr>
        <w:ind w:left="0" w:firstLine="0"/>
      </w:pPr>
      <w:rPr>
        <w:rFonts w:hint="eastAsia" w:ascii="黑体" w:hAnsi="Times New Roman" w:eastAsia="黑体"/>
        <w:b w:val="0"/>
        <w:i w:val="0"/>
        <w:sz w:val="21"/>
      </w:rPr>
    </w:lvl>
    <w:lvl w:ilvl="4" w:tentative="0">
      <w:start w:val="1"/>
      <w:numFmt w:val="decimal"/>
      <w:pStyle w:val="241"/>
      <w:suff w:val="nothing"/>
      <w:lvlText w:val="%1.%2.%3.%4.%5　"/>
      <w:lvlJc w:val="left"/>
      <w:pPr>
        <w:ind w:left="0" w:firstLine="0"/>
      </w:pPr>
      <w:rPr>
        <w:rFonts w:hint="eastAsia" w:ascii="黑体" w:hAnsi="Times New Roman" w:eastAsia="黑体"/>
        <w:b w:val="0"/>
        <w:i w:val="0"/>
        <w:sz w:val="21"/>
      </w:rPr>
    </w:lvl>
    <w:lvl w:ilvl="5" w:tentative="0">
      <w:start w:val="1"/>
      <w:numFmt w:val="decimal"/>
      <w:pStyle w:val="24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4"/>
      <w:lvlText w:val="%1"/>
      <w:lvlJc w:val="left"/>
      <w:pPr>
        <w:tabs>
          <w:tab w:val="left" w:pos="0"/>
        </w:tabs>
        <w:ind w:left="0" w:hanging="425"/>
      </w:pPr>
      <w:rPr>
        <w:rFonts w:hint="eastAsia"/>
      </w:rPr>
    </w:lvl>
    <w:lvl w:ilvl="1" w:tentative="0">
      <w:start w:val="1"/>
      <w:numFmt w:val="decimal"/>
      <w:pStyle w:val="245"/>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4679" w:firstLine="0"/>
      </w:pPr>
      <w:rPr>
        <w:rFonts w:hint="eastAsia"/>
        <w:spacing w:val="100"/>
      </w:rPr>
    </w:lvl>
    <w:lvl w:ilvl="1" w:tentative="0">
      <w:start w:val="1"/>
      <w:numFmt w:val="decimal"/>
      <w:pStyle w:val="79"/>
      <w:suff w:val="nothing"/>
      <w:lvlText w:val="%1.%2　"/>
      <w:lvlJc w:val="left"/>
      <w:pPr>
        <w:ind w:left="4679" w:firstLine="0"/>
      </w:pPr>
      <w:rPr>
        <w:rFonts w:hint="eastAsia" w:ascii="黑体" w:eastAsia="黑体"/>
        <w:b w:val="0"/>
        <w:i w:val="0"/>
        <w:sz w:val="21"/>
      </w:rPr>
    </w:lvl>
    <w:lvl w:ilvl="2" w:tentative="0">
      <w:start w:val="1"/>
      <w:numFmt w:val="decimal"/>
      <w:pStyle w:val="80"/>
      <w:suff w:val="nothing"/>
      <w:lvlText w:val="%1.%2.%3　"/>
      <w:lvlJc w:val="left"/>
      <w:pPr>
        <w:ind w:left="4679" w:firstLine="0"/>
      </w:pPr>
      <w:rPr>
        <w:rFonts w:hint="eastAsia" w:ascii="黑体" w:eastAsia="黑体"/>
        <w:b w:val="0"/>
        <w:i w:val="0"/>
        <w:sz w:val="21"/>
      </w:rPr>
    </w:lvl>
    <w:lvl w:ilvl="3" w:tentative="0">
      <w:start w:val="1"/>
      <w:numFmt w:val="decimal"/>
      <w:pStyle w:val="82"/>
      <w:suff w:val="nothing"/>
      <w:lvlText w:val="%1.%2.%3.%4　"/>
      <w:lvlJc w:val="left"/>
      <w:pPr>
        <w:ind w:left="4679" w:firstLine="0"/>
      </w:pPr>
      <w:rPr>
        <w:rFonts w:hint="eastAsia" w:ascii="黑体" w:eastAsia="黑体"/>
        <w:b w:val="0"/>
        <w:i w:val="0"/>
        <w:sz w:val="21"/>
      </w:rPr>
    </w:lvl>
    <w:lvl w:ilvl="4" w:tentative="0">
      <w:start w:val="1"/>
      <w:numFmt w:val="decimal"/>
      <w:pStyle w:val="83"/>
      <w:suff w:val="nothing"/>
      <w:lvlText w:val="%1.%2.%3.%4.%5　"/>
      <w:lvlJc w:val="left"/>
      <w:pPr>
        <w:ind w:left="4679" w:firstLine="0"/>
      </w:pPr>
      <w:rPr>
        <w:rFonts w:hint="eastAsia" w:ascii="黑体" w:eastAsia="黑体"/>
        <w:b w:val="0"/>
        <w:i w:val="0"/>
        <w:sz w:val="21"/>
      </w:rPr>
    </w:lvl>
    <w:lvl w:ilvl="5" w:tentative="0">
      <w:start w:val="1"/>
      <w:numFmt w:val="decimal"/>
      <w:pStyle w:val="85"/>
      <w:suff w:val="nothing"/>
      <w:lvlText w:val="%1.%2.%3.%4.%5.%6　"/>
      <w:lvlJc w:val="left"/>
      <w:pPr>
        <w:ind w:left="4679" w:firstLine="0"/>
      </w:pPr>
      <w:rPr>
        <w:rFonts w:hint="eastAsia" w:ascii="黑体" w:eastAsia="黑体"/>
        <w:b w:val="0"/>
        <w:i w:val="0"/>
        <w:sz w:val="21"/>
      </w:rPr>
    </w:lvl>
    <w:lvl w:ilvl="6" w:tentative="0">
      <w:start w:val="1"/>
      <w:numFmt w:val="decimal"/>
      <w:suff w:val="nothing"/>
      <w:lvlText w:val="%1.%2.%3.%4.%5.%6.%7　"/>
      <w:lvlJc w:val="left"/>
      <w:pPr>
        <w:ind w:left="4679" w:firstLine="0"/>
      </w:pPr>
      <w:rPr>
        <w:rFonts w:hint="eastAsia"/>
      </w:rPr>
    </w:lvl>
    <w:lvl w:ilvl="7" w:tentative="0">
      <w:start w:val="1"/>
      <w:numFmt w:val="decimal"/>
      <w:lvlText w:val="%1.%2.%3.%4.%5.%6.%7.%8"/>
      <w:lvlJc w:val="left"/>
      <w:pPr>
        <w:tabs>
          <w:tab w:val="left" w:pos="9073"/>
        </w:tabs>
        <w:ind w:left="9073" w:hanging="1418"/>
      </w:pPr>
      <w:rPr>
        <w:rFonts w:hint="eastAsia"/>
      </w:rPr>
    </w:lvl>
    <w:lvl w:ilvl="8" w:tentative="0">
      <w:start w:val="1"/>
      <w:numFmt w:val="decimal"/>
      <w:lvlText w:val="%1.%2.%3.%4.%5.%6.%7.%8.%9"/>
      <w:lvlJc w:val="left"/>
      <w:pPr>
        <w:tabs>
          <w:tab w:val="left" w:pos="9781"/>
        </w:tabs>
        <w:ind w:left="9781"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6C07CD"/>
    <w:multiLevelType w:val="multilevel"/>
    <w:tmpl w:val="6D6C07CD"/>
    <w:lvl w:ilvl="0" w:tentative="0">
      <w:start w:val="1"/>
      <w:numFmt w:val="lowerLetter"/>
      <w:pStyle w:val="253"/>
      <w:lvlText w:val="%1)"/>
      <w:lvlJc w:val="left"/>
      <w:pPr>
        <w:tabs>
          <w:tab w:val="left" w:pos="839"/>
        </w:tabs>
        <w:ind w:left="839" w:hanging="419"/>
      </w:pPr>
      <w:rPr>
        <w:rFonts w:hint="eastAsia" w:ascii="宋体" w:eastAsia="宋体"/>
        <w:b w:val="0"/>
        <w:i w:val="0"/>
        <w:sz w:val="21"/>
      </w:rPr>
    </w:lvl>
    <w:lvl w:ilvl="1" w:tentative="0">
      <w:start w:val="1"/>
      <w:numFmt w:val="decimal"/>
      <w:pStyle w:val="24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2"/>
  </w:num>
  <w:num w:numId="24">
    <w:abstractNumId w:val="6"/>
  </w:num>
  <w:num w:numId="25">
    <w:abstractNumId w:val="28"/>
  </w:num>
  <w:num w:numId="26">
    <w:abstractNumId w:val="31"/>
  </w:num>
  <w:num w:numId="27">
    <w:abstractNumId w:val="2"/>
  </w:num>
  <w:num w:numId="28">
    <w:abstractNumId w:val="4"/>
  </w:num>
  <w:num w:numId="29">
    <w:abstractNumId w:val="15"/>
  </w:num>
  <w:num w:numId="30">
    <w:abstractNumId w:val="26"/>
  </w:num>
  <w:num w:numId="31">
    <w:abstractNumId w:val="24"/>
  </w:num>
  <w:num w:numId="32">
    <w:abstractNumId w:val="10"/>
  </w:num>
  <w:num w:numId="33">
    <w:abstractNumId w:val="21"/>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dit="forms" w:enforcement="1" w:cryptProviderType="rsaFull" w:cryptAlgorithmClass="hash" w:cryptAlgorithmType="typeAny" w:cryptAlgorithmSid="4" w:cryptSpinCount="100000" w:hash="/lyNxsA+4lVzq169/Vinaaxu5+0=" w:salt="xM1SBoRMlQV7yH3ts3c8Q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MzM2MTAxMGRmZDU2ZGE5ODNjODVmMTdmZmQ2NGIifQ=="/>
  </w:docVars>
  <w:rsids>
    <w:rsidRoot w:val="00DC3847"/>
    <w:rsid w:val="0000040A"/>
    <w:rsid w:val="00000A94"/>
    <w:rsid w:val="00001972"/>
    <w:rsid w:val="00001D9A"/>
    <w:rsid w:val="00004EC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6CB"/>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5489"/>
    <w:rsid w:val="00246021"/>
    <w:rsid w:val="0024666E"/>
    <w:rsid w:val="00247F52"/>
    <w:rsid w:val="00250B25"/>
    <w:rsid w:val="00250BBE"/>
    <w:rsid w:val="002515C2"/>
    <w:rsid w:val="0025194F"/>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C54"/>
    <w:rsid w:val="002E4D5A"/>
    <w:rsid w:val="002E6326"/>
    <w:rsid w:val="002F30E0"/>
    <w:rsid w:val="002F35E4"/>
    <w:rsid w:val="002F3730"/>
    <w:rsid w:val="002F38E1"/>
    <w:rsid w:val="002F7AF6"/>
    <w:rsid w:val="00300E63"/>
    <w:rsid w:val="00302F5F"/>
    <w:rsid w:val="0030441D"/>
    <w:rsid w:val="00306063"/>
    <w:rsid w:val="00313B85"/>
    <w:rsid w:val="00317988"/>
    <w:rsid w:val="00321AAE"/>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4C87"/>
    <w:rsid w:val="00405884"/>
    <w:rsid w:val="00407D39"/>
    <w:rsid w:val="0041166A"/>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4CB2"/>
    <w:rsid w:val="004C7556"/>
    <w:rsid w:val="004C7E8B"/>
    <w:rsid w:val="004C7E9D"/>
    <w:rsid w:val="004C7F67"/>
    <w:rsid w:val="004D076D"/>
    <w:rsid w:val="004D0EF1"/>
    <w:rsid w:val="004D2253"/>
    <w:rsid w:val="004D4406"/>
    <w:rsid w:val="004D7C42"/>
    <w:rsid w:val="004E0465"/>
    <w:rsid w:val="004E09FF"/>
    <w:rsid w:val="004E127B"/>
    <w:rsid w:val="004E1C0A"/>
    <w:rsid w:val="004E30C5"/>
    <w:rsid w:val="004E4AA5"/>
    <w:rsid w:val="004E4AEE"/>
    <w:rsid w:val="004E59E3"/>
    <w:rsid w:val="004E67C0"/>
    <w:rsid w:val="004F391A"/>
    <w:rsid w:val="004F3CFB"/>
    <w:rsid w:val="004F6456"/>
    <w:rsid w:val="004F696E"/>
    <w:rsid w:val="004F6C71"/>
    <w:rsid w:val="004F6C8A"/>
    <w:rsid w:val="00501139"/>
    <w:rsid w:val="0050363E"/>
    <w:rsid w:val="005039BC"/>
    <w:rsid w:val="005043BB"/>
    <w:rsid w:val="00504A3D"/>
    <w:rsid w:val="00505767"/>
    <w:rsid w:val="005073F0"/>
    <w:rsid w:val="00510A7B"/>
    <w:rsid w:val="00511D91"/>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444"/>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49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C77BA"/>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8AA"/>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48EA"/>
    <w:rsid w:val="00977010"/>
    <w:rsid w:val="00977D02"/>
    <w:rsid w:val="009809BB"/>
    <w:rsid w:val="0098364B"/>
    <w:rsid w:val="009861C1"/>
    <w:rsid w:val="009911AF"/>
    <w:rsid w:val="00991875"/>
    <w:rsid w:val="00991F92"/>
    <w:rsid w:val="009927CA"/>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5C56"/>
    <w:rsid w:val="00A36DD1"/>
    <w:rsid w:val="00A4006C"/>
    <w:rsid w:val="00A40091"/>
    <w:rsid w:val="00A4030F"/>
    <w:rsid w:val="00A41C79"/>
    <w:rsid w:val="00A41CB5"/>
    <w:rsid w:val="00A42CDF"/>
    <w:rsid w:val="00A43450"/>
    <w:rsid w:val="00A4452E"/>
    <w:rsid w:val="00A4472C"/>
    <w:rsid w:val="00A44E69"/>
    <w:rsid w:val="00A4661E"/>
    <w:rsid w:val="00A55BD6"/>
    <w:rsid w:val="00A55D50"/>
    <w:rsid w:val="00A57142"/>
    <w:rsid w:val="00A648CD"/>
    <w:rsid w:val="00A6537A"/>
    <w:rsid w:val="00A65CB3"/>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48EF"/>
    <w:rsid w:val="00AB6309"/>
    <w:rsid w:val="00AB6C5F"/>
    <w:rsid w:val="00AB7129"/>
    <w:rsid w:val="00AC27A6"/>
    <w:rsid w:val="00AC30F7"/>
    <w:rsid w:val="00AC3A5A"/>
    <w:rsid w:val="00AC4D95"/>
    <w:rsid w:val="00AC5DF4"/>
    <w:rsid w:val="00AD0AEF"/>
    <w:rsid w:val="00AD11B7"/>
    <w:rsid w:val="00AD1A94"/>
    <w:rsid w:val="00AD1C05"/>
    <w:rsid w:val="00AD1F7E"/>
    <w:rsid w:val="00AD4126"/>
    <w:rsid w:val="00AD421C"/>
    <w:rsid w:val="00AD44FA"/>
    <w:rsid w:val="00AE070A"/>
    <w:rsid w:val="00AE101C"/>
    <w:rsid w:val="00AE37E5"/>
    <w:rsid w:val="00AE5EB4"/>
    <w:rsid w:val="00AF0C18"/>
    <w:rsid w:val="00AF47C5"/>
    <w:rsid w:val="00AF5398"/>
    <w:rsid w:val="00AF578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9B7"/>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2EE3"/>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33F"/>
    <w:rsid w:val="00BE5B52"/>
    <w:rsid w:val="00BE7B8D"/>
    <w:rsid w:val="00BF0993"/>
    <w:rsid w:val="00BF10A9"/>
    <w:rsid w:val="00BF1703"/>
    <w:rsid w:val="00BF231C"/>
    <w:rsid w:val="00BF51E5"/>
    <w:rsid w:val="00BF74A6"/>
    <w:rsid w:val="00C013AD"/>
    <w:rsid w:val="00C04904"/>
    <w:rsid w:val="00C056B3"/>
    <w:rsid w:val="00C06FEA"/>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781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2842"/>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753C"/>
    <w:rsid w:val="00EE0350"/>
    <w:rsid w:val="00EE0719"/>
    <w:rsid w:val="00EE0E80"/>
    <w:rsid w:val="00EE0FE2"/>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1913"/>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33BA"/>
    <w:rsid w:val="00F84FD0"/>
    <w:rsid w:val="00F859A8"/>
    <w:rsid w:val="00F86D87"/>
    <w:rsid w:val="00F9108B"/>
    <w:rsid w:val="00F91349"/>
    <w:rsid w:val="00F93A8A"/>
    <w:rsid w:val="00F946ED"/>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4648"/>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EC56D3"/>
    <w:rsid w:val="0A743CCE"/>
    <w:rsid w:val="0B0B23D6"/>
    <w:rsid w:val="10900896"/>
    <w:rsid w:val="133E1B08"/>
    <w:rsid w:val="17B66E52"/>
    <w:rsid w:val="1815595B"/>
    <w:rsid w:val="1BF22678"/>
    <w:rsid w:val="1C0B6B0E"/>
    <w:rsid w:val="24F94C20"/>
    <w:rsid w:val="26056DA8"/>
    <w:rsid w:val="29AD7CDB"/>
    <w:rsid w:val="2A105424"/>
    <w:rsid w:val="3ECD4FD5"/>
    <w:rsid w:val="44761D5E"/>
    <w:rsid w:val="4C3F6C31"/>
    <w:rsid w:val="58421E54"/>
    <w:rsid w:val="5BC9758F"/>
    <w:rsid w:val="5F454CC1"/>
    <w:rsid w:val="666D00A1"/>
    <w:rsid w:val="6F294CF6"/>
    <w:rsid w:val="6F652767"/>
    <w:rsid w:val="70D11B4B"/>
    <w:rsid w:val="74553BF1"/>
    <w:rsid w:val="78FF6D02"/>
    <w:rsid w:val="7BCD2191"/>
    <w:rsid w:val="7C7D6886"/>
    <w:rsid w:val="7D6FCB0F"/>
    <w:rsid w:val="7E42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qFormat/>
    <w:uiPriority w:val="0"/>
    <w:pPr>
      <w:spacing w:before="100" w:beforeAutospacing="1" w:after="100" w:afterAutospacing="1"/>
    </w:pPr>
    <w:rPr>
      <w:rFonts w:ascii="宋体" w:hAnsi="宋体" w:cs="宋体"/>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8"/>
    <w:qFormat/>
    <w:uiPriority w:val="99"/>
    <w:rPr>
      <w:rFonts w:ascii="Times New Roman" w:hAnsi="Times New Roman" w:eastAsia="宋体" w:cs="Times New Roman"/>
      <w:sz w:val="18"/>
      <w:szCs w:val="18"/>
    </w:rPr>
  </w:style>
  <w:style w:type="character" w:customStyle="1" w:styleId="45">
    <w:name w:val="页脚 Char"/>
    <w:link w:val="17"/>
    <w:qFormat/>
    <w:uiPriority w:val="99"/>
    <w:rPr>
      <w:rFonts w:ascii="宋体" w:hAnsi="Times New Roman" w:eastAsia="宋体" w:cs="Times New Roman"/>
      <w:sz w:val="18"/>
      <w:szCs w:val="18"/>
    </w:rPr>
  </w:style>
  <w:style w:type="character" w:customStyle="1" w:styleId="46">
    <w:name w:val="批注框文本 Char"/>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Other|1_"/>
    <w:basedOn w:val="29"/>
    <w:link w:val="232"/>
    <w:qFormat/>
    <w:uiPriority w:val="0"/>
    <w:rPr>
      <w:rFonts w:ascii="宋体" w:hAnsi="宋体" w:cs="宋体"/>
      <w:sz w:val="40"/>
      <w:szCs w:val="40"/>
      <w:lang w:val="zh-TW" w:eastAsia="zh-TW" w:bidi="zh-TW"/>
    </w:rPr>
  </w:style>
  <w:style w:type="paragraph" w:customStyle="1" w:styleId="232">
    <w:name w:val="Other|1"/>
    <w:basedOn w:val="1"/>
    <w:link w:val="231"/>
    <w:qFormat/>
    <w:uiPriority w:val="0"/>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233">
    <w:name w:val="Body text|1_"/>
    <w:basedOn w:val="29"/>
    <w:link w:val="234"/>
    <w:qFormat/>
    <w:uiPriority w:val="0"/>
    <w:rPr>
      <w:rFonts w:ascii="宋体" w:hAnsi="宋体" w:cs="宋体"/>
      <w:sz w:val="40"/>
      <w:szCs w:val="40"/>
      <w:lang w:val="zh-TW" w:eastAsia="zh-TW" w:bidi="zh-TW"/>
    </w:rPr>
  </w:style>
  <w:style w:type="paragraph" w:customStyle="1" w:styleId="234">
    <w:name w:val="Body text|1"/>
    <w:basedOn w:val="1"/>
    <w:link w:val="233"/>
    <w:qFormat/>
    <w:uiPriority w:val="0"/>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235">
    <w:name w:val="段"/>
    <w:link w:val="2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6">
    <w:name w:val="段 Char"/>
    <w:link w:val="235"/>
    <w:qFormat/>
    <w:uiPriority w:val="0"/>
    <w:rPr>
      <w:rFonts w:ascii="宋体" w:hAnsi="Times New Roman"/>
      <w:sz w:val="21"/>
    </w:rPr>
  </w:style>
  <w:style w:type="paragraph" w:customStyle="1" w:styleId="237">
    <w:name w:val="一级条标题"/>
    <w:next w:val="235"/>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8">
    <w:name w:val="章标题"/>
    <w:next w:val="235"/>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9">
    <w:name w:val="二级条标题"/>
    <w:basedOn w:val="237"/>
    <w:next w:val="235"/>
    <w:qFormat/>
    <w:uiPriority w:val="0"/>
    <w:pPr>
      <w:numPr>
        <w:ilvl w:val="2"/>
      </w:numPr>
      <w:spacing w:before="50" w:after="50"/>
      <w:outlineLvl w:val="3"/>
    </w:pPr>
  </w:style>
  <w:style w:type="paragraph" w:customStyle="1" w:styleId="240">
    <w:name w:val="三级条标题"/>
    <w:basedOn w:val="239"/>
    <w:next w:val="235"/>
    <w:qFormat/>
    <w:uiPriority w:val="0"/>
    <w:pPr>
      <w:numPr>
        <w:ilvl w:val="3"/>
      </w:numPr>
      <w:outlineLvl w:val="4"/>
    </w:pPr>
  </w:style>
  <w:style w:type="paragraph" w:customStyle="1" w:styleId="241">
    <w:name w:val="四级条标题"/>
    <w:basedOn w:val="240"/>
    <w:next w:val="235"/>
    <w:qFormat/>
    <w:uiPriority w:val="0"/>
    <w:pPr>
      <w:numPr>
        <w:ilvl w:val="4"/>
      </w:numPr>
      <w:outlineLvl w:val="5"/>
    </w:pPr>
  </w:style>
  <w:style w:type="paragraph" w:customStyle="1" w:styleId="242">
    <w:name w:val="五级条标题"/>
    <w:basedOn w:val="241"/>
    <w:next w:val="235"/>
    <w:qFormat/>
    <w:uiPriority w:val="0"/>
    <w:pPr>
      <w:numPr>
        <w:ilvl w:val="5"/>
      </w:numPr>
      <w:outlineLvl w:val="6"/>
    </w:pPr>
  </w:style>
  <w:style w:type="paragraph" w:customStyle="1" w:styleId="243">
    <w:name w:val="附录标识"/>
    <w:basedOn w:val="1"/>
    <w:next w:val="235"/>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4">
    <w:name w:val="附录表标号"/>
    <w:basedOn w:val="1"/>
    <w:next w:val="235"/>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5">
    <w:name w:val="附录表标题"/>
    <w:basedOn w:val="1"/>
    <w:next w:val="235"/>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6">
    <w:name w:val="附录二级条标题"/>
    <w:basedOn w:val="1"/>
    <w:next w:val="235"/>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7">
    <w:name w:val="附录三级条标题"/>
    <w:basedOn w:val="246"/>
    <w:next w:val="235"/>
    <w:qFormat/>
    <w:uiPriority w:val="0"/>
    <w:pPr>
      <w:outlineLvl w:val="4"/>
    </w:pPr>
  </w:style>
  <w:style w:type="paragraph" w:customStyle="1" w:styleId="248">
    <w:name w:val="附录数字编号列项（二级）"/>
    <w:qFormat/>
    <w:uiPriority w:val="0"/>
    <w:pPr>
      <w:numPr>
        <w:ilvl w:val="1"/>
        <w:numId w:val="34"/>
      </w:numPr>
    </w:pPr>
    <w:rPr>
      <w:rFonts w:ascii="宋体" w:hAnsi="Times New Roman" w:eastAsia="宋体" w:cs="Times New Roman"/>
      <w:sz w:val="21"/>
      <w:lang w:val="en-US" w:eastAsia="zh-CN" w:bidi="ar-SA"/>
    </w:rPr>
  </w:style>
  <w:style w:type="paragraph" w:customStyle="1" w:styleId="249">
    <w:name w:val="附录四级条标题"/>
    <w:basedOn w:val="247"/>
    <w:next w:val="235"/>
    <w:qFormat/>
    <w:uiPriority w:val="0"/>
    <w:pPr>
      <w:outlineLvl w:val="5"/>
    </w:pPr>
  </w:style>
  <w:style w:type="paragraph" w:customStyle="1" w:styleId="250">
    <w:name w:val="附录五级条标题"/>
    <w:basedOn w:val="249"/>
    <w:next w:val="235"/>
    <w:qFormat/>
    <w:uiPriority w:val="0"/>
    <w:pPr>
      <w:outlineLvl w:val="6"/>
    </w:pPr>
  </w:style>
  <w:style w:type="paragraph" w:customStyle="1" w:styleId="251">
    <w:name w:val="附录章标题"/>
    <w:next w:val="23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2">
    <w:name w:val="附录一级条标题"/>
    <w:basedOn w:val="251"/>
    <w:next w:val="235"/>
    <w:qFormat/>
    <w:uiPriority w:val="0"/>
    <w:pPr>
      <w:autoSpaceDN w:val="0"/>
      <w:spacing w:beforeLines="50" w:afterLines="50"/>
      <w:outlineLvl w:val="2"/>
    </w:pPr>
  </w:style>
  <w:style w:type="paragraph" w:customStyle="1" w:styleId="253">
    <w:name w:val="附录字母编号列项（一级）"/>
    <w:qFormat/>
    <w:uiPriority w:val="0"/>
    <w:pPr>
      <w:numPr>
        <w:ilvl w:val="0"/>
        <w:numId w:val="34"/>
      </w:numPr>
    </w:pPr>
    <w:rPr>
      <w:rFonts w:ascii="宋体" w:hAnsi="Times New Roman" w:eastAsia="宋体" w:cs="Times New Roman"/>
      <w:sz w:val="21"/>
      <w:lang w:val="en-US" w:eastAsia="zh-CN" w:bidi="ar-SA"/>
    </w:rPr>
  </w:style>
  <w:style w:type="paragraph" w:customStyle="1" w:styleId="254">
    <w:name w:val="目次、标准名称标题"/>
    <w:basedOn w:val="1"/>
    <w:next w:val="2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5">
    <w:name w:val="标准书眉_偶数页"/>
    <w:basedOn w:val="256"/>
    <w:next w:val="1"/>
    <w:qFormat/>
    <w:uiPriority w:val="0"/>
    <w:pPr>
      <w:tabs>
        <w:tab w:val="center" w:pos="4154"/>
        <w:tab w:val="right" w:pos="8306"/>
      </w:tabs>
      <w:jc w:val="left"/>
    </w:pPr>
  </w:style>
  <w:style w:type="paragraph" w:customStyle="1" w:styleId="25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257">
    <w:name w:val="标准书脚_偶数页"/>
    <w:qFormat/>
    <w:uiPriority w:val="0"/>
    <w:pPr>
      <w:spacing w:before="120"/>
      <w:ind w:left="221"/>
    </w:pPr>
    <w:rPr>
      <w:rFonts w:ascii="宋体"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w/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F1F6BE9F8B49B582C0C938A0B20B27"/>
        <w:style w:val=""/>
        <w:category>
          <w:name w:val="常规"/>
          <w:gallery w:val="placeholder"/>
        </w:category>
        <w:types>
          <w:type w:val="bbPlcHdr"/>
        </w:types>
        <w:behaviors>
          <w:behavior w:val="content"/>
        </w:behaviors>
        <w:description w:val=""/>
        <w:guid w:val="{D04FED4B-A8FE-40FD-8B3D-9F45A46578EC}"/>
      </w:docPartPr>
      <w:docPartBody>
        <w:p>
          <w:pPr>
            <w:pStyle w:val="5"/>
          </w:pPr>
          <w:r>
            <w:rPr>
              <w:rStyle w:val="4"/>
              <w:rFonts w:hint="eastAsia"/>
            </w:rPr>
            <w:t>单击或点击此处输入文字。</w:t>
          </w:r>
        </w:p>
      </w:docPartBody>
    </w:docPart>
    <w:docPart>
      <w:docPartPr>
        <w:name w:val="EFCC2EEE47E4473396C416C60F7D75EB"/>
        <w:style w:val=""/>
        <w:category>
          <w:name w:val="常规"/>
          <w:gallery w:val="placeholder"/>
        </w:category>
        <w:types>
          <w:type w:val="bbPlcHdr"/>
        </w:types>
        <w:behaviors>
          <w:behavior w:val="content"/>
        </w:behaviors>
        <w:description w:val=""/>
        <w:guid w:val="{A15EE46B-3C49-4A61-91A3-159C8F06D57F}"/>
      </w:docPartPr>
      <w:docPartBody>
        <w:p>
          <w:pPr>
            <w:pStyle w:val="8"/>
          </w:pPr>
          <w:r>
            <w:rPr>
              <w:rStyle w:val="4"/>
              <w:rFonts w:hint="eastAsia"/>
            </w:rPr>
            <w:t>选择一项。</w:t>
          </w:r>
        </w:p>
      </w:docPartBody>
    </w:docPart>
    <w:docPart>
      <w:docPartPr>
        <w:name w:val="860A32AD16CB46C7BDA616A633F59362"/>
        <w:style w:val=""/>
        <w:category>
          <w:name w:val="常规"/>
          <w:gallery w:val="placeholder"/>
        </w:category>
        <w:types>
          <w:type w:val="bbPlcHdr"/>
        </w:types>
        <w:behaviors>
          <w:behavior w:val="content"/>
        </w:behaviors>
        <w:description w:val=""/>
        <w:guid w:val="{AE371A02-7DE9-4C74-9E42-FC669D17A4C2}"/>
      </w:docPartPr>
      <w:docPartBody>
        <w:p>
          <w:pPr>
            <w:pStyle w:val="9"/>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C"/>
    <w:rsid w:val="000F407D"/>
    <w:rsid w:val="001515CF"/>
    <w:rsid w:val="003133AA"/>
    <w:rsid w:val="003C09E6"/>
    <w:rsid w:val="00426EEA"/>
    <w:rsid w:val="004B31C1"/>
    <w:rsid w:val="004E533E"/>
    <w:rsid w:val="00577612"/>
    <w:rsid w:val="00704821"/>
    <w:rsid w:val="0099007C"/>
    <w:rsid w:val="00A753A3"/>
    <w:rsid w:val="00B6633C"/>
    <w:rsid w:val="00EC5869"/>
    <w:rsid w:val="00F8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3F1F6BE9F8B49B582C0C938A0B20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D951B898FE4B6FB6E1526A40F63A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1473134F4764430993982BC40448A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FCC2EEE47E4473396C416C60F7D75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60A32AD16CB46C7BDA616A633F5936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8</Pages>
  <Words>845</Words>
  <Characters>4822</Characters>
  <Lines>40</Lines>
  <Paragraphs>11</Paragraphs>
  <TotalTime>59</TotalTime>
  <ScaleCrop>false</ScaleCrop>
  <LinksUpToDate>false</LinksUpToDate>
  <CharactersWithSpaces>5656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2022-09-02T14:09:00Z</dcterms:created>
  <dc:creator>刘璟</dc:creator>
  <dc:description>&lt;config cover="true" show_menu="true" version="1.0.0" doctype="SDKXY"&gt;_x000d_
&lt;/config&gt;</dc:description>
  <cp:lastModifiedBy>scw</cp:lastModifiedBy>
  <cp:lastPrinted>2020-08-30T18:00:00Z</cp:lastPrinted>
  <dcterms:modified xsi:type="dcterms:W3CDTF">2022-11-23T09:17:01Z</dcterms:modified>
  <dc:title>地方标准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ICV">
    <vt:lpwstr>D570271BA4D84146A0997B64EE5DA833</vt:lpwstr>
  </property>
</Properties>
</file>