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32"/>
          <w:szCs w:val="32"/>
        </w:rPr>
      </w:pPr>
    </w:p>
    <w:p>
      <w:pPr>
        <w:rPr>
          <w:b/>
          <w:sz w:val="32"/>
          <w:szCs w:val="32"/>
        </w:rPr>
      </w:pPr>
    </w:p>
    <w:p>
      <w:pPr>
        <w:rPr>
          <w:b/>
          <w:sz w:val="32"/>
          <w:szCs w:val="32"/>
        </w:rPr>
      </w:pPr>
    </w:p>
    <w:p>
      <w:pPr>
        <w:rPr>
          <w:b/>
          <w:sz w:val="32"/>
          <w:szCs w:val="32"/>
        </w:rPr>
      </w:pPr>
    </w:p>
    <w:p>
      <w:pPr>
        <w:rPr>
          <w:b/>
          <w:sz w:val="32"/>
          <w:szCs w:val="32"/>
        </w:rPr>
      </w:pPr>
    </w:p>
    <w:p>
      <w:pPr>
        <w:jc w:val="center"/>
        <w:rPr>
          <w:rFonts w:eastAsia="隶书"/>
          <w:b/>
          <w:sz w:val="68"/>
          <w:szCs w:val="68"/>
        </w:rPr>
      </w:pPr>
      <w:r>
        <w:rPr>
          <w:rFonts w:hint="eastAsia" w:eastAsia="隶书"/>
          <w:b/>
          <w:sz w:val="68"/>
          <w:szCs w:val="68"/>
        </w:rPr>
        <w:t>天津市消防救援总队</w:t>
      </w:r>
      <w:r>
        <w:rPr>
          <w:rFonts w:hint="eastAsia" w:eastAsia="隶书"/>
          <w:b/>
          <w:sz w:val="68"/>
          <w:szCs w:val="68"/>
          <w:lang w:val="en-US" w:eastAsia="zh-CN"/>
        </w:rPr>
        <w:t>训练与战勤保障支队</w:t>
      </w:r>
      <w:r>
        <w:rPr>
          <w:rFonts w:eastAsia="隶书"/>
          <w:b/>
          <w:sz w:val="68"/>
          <w:szCs w:val="68"/>
        </w:rPr>
        <w:t>202</w:t>
      </w:r>
      <w:r>
        <w:rPr>
          <w:rFonts w:hint="eastAsia" w:eastAsia="隶书"/>
          <w:b/>
          <w:sz w:val="68"/>
          <w:szCs w:val="68"/>
        </w:rPr>
        <w:t>2</w:t>
      </w:r>
      <w:r>
        <w:rPr>
          <w:rFonts w:eastAsia="隶书"/>
          <w:b/>
          <w:sz w:val="68"/>
          <w:szCs w:val="68"/>
        </w:rPr>
        <w:t>年度部门预算</w:t>
      </w:r>
    </w:p>
    <w:p>
      <w:pPr>
        <w:jc w:val="center"/>
        <w:rPr>
          <w:rFonts w:eastAsia="隶书"/>
          <w:b/>
          <w:sz w:val="68"/>
          <w:szCs w:val="68"/>
        </w:rPr>
      </w:pPr>
    </w:p>
    <w:p>
      <w:pPr>
        <w:jc w:val="center"/>
        <w:rPr>
          <w:rFonts w:eastAsia="黑体"/>
          <w:b/>
          <w:sz w:val="48"/>
          <w:szCs w:val="48"/>
        </w:rPr>
      </w:pPr>
    </w:p>
    <w:p>
      <w:pPr>
        <w:jc w:val="center"/>
        <w:rPr>
          <w:rFonts w:eastAsia="黑体"/>
          <w:b/>
          <w:sz w:val="48"/>
          <w:szCs w:val="48"/>
        </w:rPr>
      </w:pPr>
    </w:p>
    <w:p>
      <w:pPr>
        <w:jc w:val="center"/>
        <w:rPr>
          <w:rFonts w:eastAsia="黑体"/>
          <w:b/>
          <w:sz w:val="48"/>
          <w:szCs w:val="48"/>
        </w:rPr>
      </w:pPr>
    </w:p>
    <w:p>
      <w:pPr>
        <w:jc w:val="center"/>
        <w:rPr>
          <w:rFonts w:eastAsia="黑体"/>
          <w:b/>
          <w:sz w:val="48"/>
          <w:szCs w:val="48"/>
        </w:rPr>
      </w:pPr>
    </w:p>
    <w:p>
      <w:pPr>
        <w:jc w:val="center"/>
        <w:rPr>
          <w:rFonts w:eastAsia="黑体"/>
          <w:b/>
          <w:sz w:val="48"/>
          <w:szCs w:val="48"/>
        </w:rPr>
      </w:pPr>
    </w:p>
    <w:p>
      <w:pPr>
        <w:jc w:val="center"/>
        <w:rPr>
          <w:rFonts w:eastAsia="黑体"/>
          <w:b/>
          <w:sz w:val="48"/>
          <w:szCs w:val="48"/>
        </w:rPr>
      </w:pPr>
    </w:p>
    <w:p>
      <w:pPr>
        <w:jc w:val="center"/>
        <w:rPr>
          <w:rFonts w:eastAsia="隶书"/>
          <w:b/>
          <w:sz w:val="48"/>
          <w:szCs w:val="48"/>
        </w:rPr>
      </w:pPr>
    </w:p>
    <w:p>
      <w:pPr>
        <w:jc w:val="center"/>
        <w:rPr>
          <w:rFonts w:eastAsia="隶书"/>
          <w:b/>
          <w:sz w:val="36"/>
          <w:szCs w:val="36"/>
        </w:rPr>
      </w:pPr>
      <w:r>
        <w:rPr>
          <w:rFonts w:eastAsia="隶书"/>
          <w:b/>
          <w:sz w:val="36"/>
          <w:szCs w:val="36"/>
        </w:rPr>
        <w:t>二〇二</w:t>
      </w:r>
      <w:r>
        <w:rPr>
          <w:rFonts w:hint="eastAsia" w:eastAsia="隶书"/>
          <w:b/>
          <w:sz w:val="36"/>
          <w:szCs w:val="36"/>
        </w:rPr>
        <w:t>二</w:t>
      </w:r>
      <w:r>
        <w:rPr>
          <w:rFonts w:eastAsia="隶书"/>
          <w:b/>
          <w:sz w:val="36"/>
          <w:szCs w:val="36"/>
        </w:rPr>
        <w:t>年</w:t>
      </w:r>
      <w:r>
        <w:rPr>
          <w:rFonts w:hint="eastAsia" w:eastAsia="隶书"/>
          <w:b/>
          <w:sz w:val="36"/>
          <w:szCs w:val="36"/>
        </w:rPr>
        <w:t>四</w:t>
      </w:r>
      <w:r>
        <w:rPr>
          <w:rFonts w:eastAsia="隶书"/>
          <w:b/>
          <w:sz w:val="36"/>
          <w:szCs w:val="36"/>
        </w:rPr>
        <w:t>月</w:t>
      </w:r>
    </w:p>
    <w:p>
      <w:pPr>
        <w:jc w:val="center"/>
        <w:rPr>
          <w:rFonts w:eastAsia="黑体"/>
          <w:b/>
          <w:sz w:val="48"/>
          <w:szCs w:val="48"/>
        </w:rPr>
      </w:pPr>
    </w:p>
    <w:p>
      <w:pPr>
        <w:jc w:val="center"/>
        <w:rPr>
          <w:rFonts w:eastAsia="黑体"/>
          <w:b/>
          <w:sz w:val="48"/>
          <w:szCs w:val="48"/>
        </w:rPr>
      </w:pPr>
    </w:p>
    <w:p>
      <w:pPr>
        <w:jc w:val="center"/>
        <w:rPr>
          <w:rFonts w:eastAsia="黑体"/>
          <w:b/>
          <w:sz w:val="48"/>
          <w:szCs w:val="48"/>
        </w:rPr>
      </w:pPr>
    </w:p>
    <w:p>
      <w:pPr>
        <w:jc w:val="center"/>
        <w:rPr>
          <w:rFonts w:eastAsia="黑体"/>
          <w:b/>
          <w:sz w:val="48"/>
          <w:szCs w:val="48"/>
        </w:rPr>
      </w:pPr>
    </w:p>
    <w:p>
      <w:pPr>
        <w:jc w:val="center"/>
        <w:rPr>
          <w:rFonts w:eastAsia="黑体"/>
          <w:b/>
          <w:sz w:val="52"/>
          <w:szCs w:val="52"/>
        </w:rPr>
      </w:pPr>
      <w:r>
        <w:rPr>
          <w:rFonts w:eastAsia="黑体"/>
          <w:b/>
          <w:sz w:val="52"/>
          <w:szCs w:val="52"/>
        </w:rPr>
        <w:t>目   录</w:t>
      </w:r>
    </w:p>
    <w:p>
      <w:pPr>
        <w:jc w:val="center"/>
        <w:rPr>
          <w:rFonts w:eastAsia="黑体"/>
          <w:b/>
          <w:sz w:val="48"/>
          <w:szCs w:val="48"/>
        </w:rPr>
      </w:pPr>
    </w:p>
    <w:p>
      <w:pPr>
        <w:ind w:left="2518" w:leftChars="342" w:hanging="1800" w:hangingChars="500"/>
        <w:rPr>
          <w:rFonts w:eastAsia="黑体"/>
          <w:sz w:val="36"/>
          <w:szCs w:val="36"/>
        </w:rPr>
      </w:pPr>
      <w:r>
        <w:rPr>
          <w:rFonts w:eastAsia="黑体"/>
          <w:sz w:val="36"/>
          <w:szCs w:val="36"/>
        </w:rPr>
        <w:t xml:space="preserve">第一部分  </w:t>
      </w:r>
      <w:r>
        <w:rPr>
          <w:rFonts w:hint="eastAsia" w:eastAsia="黑体"/>
          <w:sz w:val="36"/>
          <w:szCs w:val="36"/>
        </w:rPr>
        <w:t>天津市消防救援总队</w:t>
      </w:r>
      <w:r>
        <w:rPr>
          <w:rFonts w:hint="eastAsia" w:eastAsia="黑体"/>
          <w:sz w:val="36"/>
          <w:szCs w:val="36"/>
          <w:lang w:val="en-US" w:eastAsia="zh-CN"/>
        </w:rPr>
        <w:t>训练与战勤保障支队</w:t>
      </w:r>
      <w:r>
        <w:rPr>
          <w:rFonts w:eastAsia="黑体"/>
          <w:sz w:val="36"/>
          <w:szCs w:val="36"/>
        </w:rPr>
        <w:t>概况</w:t>
      </w:r>
    </w:p>
    <w:p>
      <w:pPr>
        <w:ind w:firstLine="2560" w:firstLineChars="800"/>
        <w:rPr>
          <w:rFonts w:hint="eastAsia" w:ascii="仿宋_GB2312" w:eastAsia="仿宋_GB2312"/>
          <w:sz w:val="32"/>
          <w:szCs w:val="32"/>
        </w:rPr>
      </w:pPr>
      <w:r>
        <w:rPr>
          <w:rFonts w:hint="eastAsia" w:ascii="仿宋_GB2312" w:eastAsia="仿宋_GB2312"/>
          <w:sz w:val="32"/>
          <w:szCs w:val="32"/>
        </w:rPr>
        <w:t>主要职责</w:t>
      </w:r>
    </w:p>
    <w:p>
      <w:pPr>
        <w:rPr>
          <w:rFonts w:eastAsia="黑体"/>
          <w:sz w:val="36"/>
          <w:szCs w:val="36"/>
        </w:rPr>
      </w:pPr>
    </w:p>
    <w:p>
      <w:pPr>
        <w:ind w:left="2522" w:leftChars="344" w:hanging="1800" w:hangingChars="500"/>
        <w:rPr>
          <w:rFonts w:eastAsia="黑体"/>
          <w:sz w:val="36"/>
          <w:szCs w:val="36"/>
        </w:rPr>
      </w:pPr>
      <w:r>
        <w:rPr>
          <w:rFonts w:eastAsia="黑体"/>
          <w:sz w:val="36"/>
          <w:szCs w:val="36"/>
        </w:rPr>
        <w:t>第二部分  天津市消防救援总队</w:t>
      </w:r>
      <w:r>
        <w:rPr>
          <w:rFonts w:hint="eastAsia" w:eastAsia="黑体"/>
          <w:sz w:val="36"/>
          <w:szCs w:val="36"/>
          <w:lang w:val="en-US" w:eastAsia="zh-CN"/>
        </w:rPr>
        <w:t>训练与战勤保障支队</w:t>
      </w:r>
      <w:r>
        <w:rPr>
          <w:rFonts w:eastAsia="黑体"/>
          <w:sz w:val="36"/>
          <w:szCs w:val="36"/>
        </w:rPr>
        <w:t>202</w:t>
      </w:r>
      <w:r>
        <w:rPr>
          <w:rFonts w:hint="eastAsia" w:eastAsia="黑体"/>
          <w:sz w:val="36"/>
          <w:szCs w:val="36"/>
        </w:rPr>
        <w:t>2</w:t>
      </w:r>
      <w:r>
        <w:rPr>
          <w:rFonts w:eastAsia="黑体"/>
          <w:sz w:val="36"/>
          <w:szCs w:val="36"/>
        </w:rPr>
        <w:t>年部门预算表</w:t>
      </w:r>
    </w:p>
    <w:p>
      <w:pPr>
        <w:ind w:firstLine="2560" w:firstLineChars="800"/>
        <w:rPr>
          <w:rFonts w:hint="eastAsia" w:ascii="仿宋_GB2312" w:eastAsia="仿宋_GB2312"/>
          <w:sz w:val="32"/>
          <w:szCs w:val="32"/>
        </w:rPr>
      </w:pPr>
      <w:r>
        <w:rPr>
          <w:rFonts w:hint="eastAsia" w:ascii="仿宋_GB2312" w:eastAsia="仿宋_GB2312"/>
          <w:sz w:val="32"/>
          <w:szCs w:val="32"/>
        </w:rPr>
        <w:t>（见附表）</w:t>
      </w:r>
    </w:p>
    <w:p>
      <w:pPr>
        <w:ind w:firstLine="640" w:firstLineChars="200"/>
        <w:rPr>
          <w:rFonts w:eastAsia="方正仿宋_GBK"/>
          <w:sz w:val="32"/>
          <w:szCs w:val="32"/>
        </w:rPr>
      </w:pPr>
    </w:p>
    <w:p>
      <w:pPr>
        <w:ind w:left="2522" w:leftChars="344" w:hanging="1800" w:hangingChars="500"/>
        <w:rPr>
          <w:rFonts w:eastAsia="黑体"/>
          <w:sz w:val="36"/>
          <w:szCs w:val="36"/>
        </w:rPr>
      </w:pPr>
      <w:r>
        <w:rPr>
          <w:rFonts w:eastAsia="黑体"/>
          <w:sz w:val="36"/>
          <w:szCs w:val="36"/>
        </w:rPr>
        <w:t xml:space="preserve">第三部分  </w:t>
      </w:r>
      <w:r>
        <w:rPr>
          <w:rFonts w:hint="eastAsia" w:eastAsia="黑体"/>
          <w:sz w:val="36"/>
          <w:szCs w:val="36"/>
        </w:rPr>
        <w:t>天津市消防救援总队</w:t>
      </w:r>
      <w:r>
        <w:rPr>
          <w:rFonts w:hint="eastAsia" w:eastAsia="黑体"/>
          <w:sz w:val="36"/>
          <w:szCs w:val="36"/>
          <w:lang w:val="en-US" w:eastAsia="zh-CN"/>
        </w:rPr>
        <w:t>训练与战勤保障支队</w:t>
      </w:r>
      <w:r>
        <w:rPr>
          <w:rFonts w:eastAsia="黑体"/>
          <w:sz w:val="36"/>
          <w:szCs w:val="36"/>
        </w:rPr>
        <w:t>202</w:t>
      </w:r>
      <w:r>
        <w:rPr>
          <w:rFonts w:hint="eastAsia" w:eastAsia="黑体"/>
          <w:sz w:val="36"/>
          <w:szCs w:val="36"/>
        </w:rPr>
        <w:t>2</w:t>
      </w:r>
      <w:r>
        <w:rPr>
          <w:rFonts w:eastAsia="黑体"/>
          <w:sz w:val="36"/>
          <w:szCs w:val="36"/>
        </w:rPr>
        <w:t>年部门预算情况说明</w:t>
      </w:r>
    </w:p>
    <w:p>
      <w:pPr>
        <w:ind w:firstLine="640" w:firstLineChars="200"/>
        <w:rPr>
          <w:rFonts w:eastAsia="仿宋"/>
          <w:sz w:val="32"/>
          <w:szCs w:val="32"/>
        </w:rPr>
      </w:pPr>
    </w:p>
    <w:p>
      <w:pPr>
        <w:ind w:firstLine="720" w:firstLineChars="200"/>
        <w:rPr>
          <w:rFonts w:eastAsia="黑体"/>
          <w:sz w:val="36"/>
          <w:szCs w:val="36"/>
        </w:rPr>
      </w:pPr>
      <w:r>
        <w:rPr>
          <w:rFonts w:eastAsia="黑体"/>
          <w:sz w:val="36"/>
          <w:szCs w:val="36"/>
        </w:rPr>
        <w:t>第四部分  名词解释</w:t>
      </w:r>
    </w:p>
    <w:p>
      <w:pPr>
        <w:spacing w:line="520" w:lineRule="exact"/>
        <w:rPr>
          <w:rFonts w:ascii="黑体" w:hAnsi="黑体" w:eastAsia="黑体"/>
          <w:b/>
          <w:sz w:val="32"/>
          <w:szCs w:val="32"/>
        </w:rPr>
      </w:pPr>
      <w:r>
        <w:rPr>
          <w:rFonts w:eastAsia="仿宋"/>
          <w:sz w:val="32"/>
          <w:szCs w:val="32"/>
        </w:rPr>
        <w:br w:type="page"/>
      </w:r>
      <w:r>
        <w:rPr>
          <w:rFonts w:eastAsia="仿宋"/>
          <w:sz w:val="32"/>
          <w:szCs w:val="32"/>
        </w:rPr>
        <mc:AlternateContent>
          <mc:Choice Requires="wpg">
            <w:drawing>
              <wp:anchor distT="0" distB="0" distL="114300" distR="114300" simplePos="0" relativeHeight="251661312" behindDoc="1" locked="0" layoutInCell="1" allowOverlap="1">
                <wp:simplePos x="0" y="0"/>
                <wp:positionH relativeFrom="column">
                  <wp:posOffset>1143000</wp:posOffset>
                </wp:positionH>
                <wp:positionV relativeFrom="paragraph">
                  <wp:posOffset>-891540</wp:posOffset>
                </wp:positionV>
                <wp:extent cx="267970" cy="10797540"/>
                <wp:effectExtent l="6350" t="0" r="11430" b="3810"/>
                <wp:wrapNone/>
                <wp:docPr id="5" name="组合 1092"/>
                <wp:cNvGraphicFramePr/>
                <a:graphic xmlns:a="http://schemas.openxmlformats.org/drawingml/2006/main">
                  <a:graphicData uri="http://schemas.microsoft.com/office/word/2010/wordprocessingGroup">
                    <wpg:wgp>
                      <wpg:cNvGrpSpPr/>
                      <wpg:grpSpPr>
                        <a:xfrm>
                          <a:off x="0" y="0"/>
                          <a:ext cx="267970" cy="10797540"/>
                          <a:chOff x="0" y="0"/>
                          <a:chExt cx="422" cy="16848"/>
                        </a:xfrm>
                        <a:effectLst/>
                      </wpg:grpSpPr>
                      <wps:wsp>
                        <wps:cNvPr id="1" name="直接连接符 1"/>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2" name="直接连接符 2"/>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3" name="直接连接符 3"/>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4" name="直接连接符 4"/>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92" o:spid="_x0000_s1026" o:spt="203" style="position:absolute;left:0pt;margin-left:90pt;margin-top:-70.2pt;height:850.2pt;width:21.1pt;z-index:-251655168;mso-width-relative:page;mso-height-relative:page;" coordsize="422,16848" o:gfxdata="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Hpz57aAAAADQEAAA8AAAAAAAAAAQAgAAAAIgAAAGRycy9kb3ducmV2LnhtbFBL&#10;AQIUABQAAAAIAIdO4kCuvjoZnwIAAB4LAAAOAAAAAAAAAAEAIAAAACkBAABkcnMvZTJvRG9jLnht&#10;bFBLBQYAAAAABgAGAFkBAAA6BgAAAAA=&#10;">
                <o:lock v:ext="edit" aspectratio="f"/>
                <v:line id="_x0000_s1026" o:spid="_x0000_s1026" o:spt="20" style="position:absolute;left:156;top:0;height:16848;width:2;" filled="f" stroked="t" coordsize="21600,21600" o:gfxdata="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h2oi8AAAA&#10;2g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g7NE/78AAADa&#10;AAAADwAAAGRycy9kb3ducmV2LnhtbEWPQWvCQBSE70L/w/IKvekmOViJrlKKhkILYhT1+Mg+k2D2&#10;bZrdmrS/3i0Uehxm5htmsRpMI27UudqygngSgSAurK65VHDYb8YzEM4ja2wsk4JvcrBaPowWmGrb&#10;845uuS9FgLBLUUHlfZtK6YqKDLqJbYmDd7GdQR9kV0rdYR/gppFJFE2lwZrDQoUtvVZUXPMvo2D2&#10;/vK5Pn7k0x+ZXbbPp9het9lZqafHOJqD8DT4//Bf+00rSOD3SrgB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OzRP+/&#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7P/hZL8AAADa&#10;AAAADwAAAGRycy9kb3ducmV2LnhtbEWP3WrCQBSE7wt9h+UUetds0oJ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z/4WS/&#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YxZ5EL8AAADa&#10;AAAADwAAAGRycy9kb3ducmV2LnhtbEWP3WrCQBSE7wt9h+UUetdsUopKdBOKWClUEKNoLw/ZYxLM&#10;nk2zW3/69G5B8HKYmW+YSX42rThS7xrLCpIoBkFcWt1wpWCz/ngZgXAeWWNrmRRcyEGePT5MMNX2&#10;xCs6Fr4SAcIuRQW1910qpStrMugi2xEHb297gz7IvpK6x1OAm1a+xvFAGmw4LNTY0bSm8lD8GgWj&#10;r/ef2XZRDP7kfL8c7hJ7WM6/lXp+SuIxCE9nfw/f2p9awRv8Xwk3QGZ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WeRC/&#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w:pict>
          </mc:Fallback>
        </mc:AlternateContent>
      </w:r>
      <w:r>
        <w:rPr>
          <w:rFonts w:eastAsia="仿宋"/>
          <w:sz w:val="32"/>
          <w:szCs w:val="32"/>
        </w:rPr>
        <mc:AlternateContent>
          <mc:Choice Requires="wps">
            <w:drawing>
              <wp:anchor distT="0" distB="0" distL="114300" distR="114300" simplePos="0" relativeHeight="251662336" behindDoc="1" locked="0" layoutInCell="1" allowOverlap="1">
                <wp:simplePos x="0" y="0"/>
                <wp:positionH relativeFrom="column">
                  <wp:posOffset>-1135380</wp:posOffset>
                </wp:positionH>
                <wp:positionV relativeFrom="paragraph">
                  <wp:posOffset>3136900</wp:posOffset>
                </wp:positionV>
                <wp:extent cx="7461885" cy="2278380"/>
                <wp:effectExtent l="5080" t="4445" r="19685" b="22225"/>
                <wp:wrapNone/>
                <wp:docPr id="30" name="文本框 30"/>
                <wp:cNvGraphicFramePr/>
                <a:graphic xmlns:a="http://schemas.openxmlformats.org/drawingml/2006/main">
                  <a:graphicData uri="http://schemas.microsoft.com/office/word/2010/wordprocessingShape">
                    <wps:wsp>
                      <wps:cNvSpPr txBox="1"/>
                      <wps:spPr>
                        <a:xfrm>
                          <a:off x="0" y="0"/>
                          <a:ext cx="7461885"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hint="eastAsia" w:ascii="黑体" w:hAnsi="黑体" w:eastAsia="黑体" w:cs="Times New Roman"/>
                                <w:b/>
                                <w:color w:val="FFFFFF"/>
                                <w:sz w:val="52"/>
                                <w:szCs w:val="52"/>
                                <w:lang w:val="en-US" w:eastAsia="zh-CN"/>
                              </w:rPr>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天津市消防救援总队</w:t>
                            </w:r>
                            <w:r>
                              <w:rPr>
                                <w:rFonts w:hint="eastAsia" w:ascii="黑体" w:hAnsi="黑体" w:eastAsia="黑体" w:cs="Times New Roman"/>
                                <w:b/>
                                <w:color w:val="FFFFFF"/>
                                <w:sz w:val="52"/>
                                <w:szCs w:val="52"/>
                                <w:lang w:val="en-US" w:eastAsia="zh-CN"/>
                              </w:rPr>
                              <w:t>训练与战勤保障支队</w:t>
                            </w:r>
                          </w:p>
                          <w:p>
                            <w:pPr>
                              <w:ind w:firstLine="1044" w:firstLineChars="200"/>
                            </w:pPr>
                            <w:r>
                              <w:rPr>
                                <w:rFonts w:hint="eastAsia" w:ascii="黑体" w:hAnsi="黑体" w:eastAsia="黑体" w:cs="Times New Roman"/>
                                <w:b/>
                                <w:color w:val="FFFFFF"/>
                                <w:sz w:val="52"/>
                                <w:szCs w:val="52"/>
                                <w:lang w:val="en-US" w:eastAsia="zh-CN"/>
                              </w:rPr>
                              <w:t xml:space="preserve">   </w:t>
                            </w:r>
                            <w:r>
                              <w:rPr>
                                <w:rFonts w:hint="eastAsia" w:ascii="黑体" w:hAnsi="黑体" w:eastAsia="黑体"/>
                                <w:b/>
                                <w:color w:val="FFFFFF"/>
                                <w:sz w:val="52"/>
                                <w:szCs w:val="52"/>
                              </w:rPr>
                              <w:t>概况</w:t>
                            </w:r>
                          </w:p>
                        </w:txbxContent>
                      </wps:txbx>
                      <wps:bodyPr wrap="square" upright="1"/>
                    </wps:wsp>
                  </a:graphicData>
                </a:graphic>
              </wp:anchor>
            </w:drawing>
          </mc:Choice>
          <mc:Fallback>
            <w:pict>
              <v:shape id="_x0000_s1026" o:spid="_x0000_s1026" o:spt="202" type="#_x0000_t202" style="position:absolute;left:0pt;margin-left:-89.4pt;margin-top:247pt;height:179.4pt;width:587.55pt;z-index:-251654144;mso-width-relative:page;mso-height-relative:page;" fillcolor="#CC99FF" filled="t" stroked="t" coordsize="21600,21600" o:gfxdata="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Wnxux2gAAAAwBAAAPAAAAAAAAAAEAIAAAACIA&#10;AABkcnMvZG93bnJldi54bWxQSwECFAAUAAAACACHTuJASLXsvQcCAAAHBAAADgAAAAAAAAABACAA&#10;AAApAQAAZHJzL2Uyb0RvYy54bWxQSwUGAAAAAAYABgBZAQAAogUAAAAA&#10;">
                <v:fill on="t" focussize="0,0"/>
                <v:stroke color="#000000" joinstyle="miter"/>
                <v:imagedata o:title=""/>
                <o:lock v:ext="edit" aspectratio="f"/>
                <v:textbox>
                  <w:txbxContent>
                    <w:p>
                      <w:pPr>
                        <w:ind w:firstLine="1044" w:firstLineChars="200"/>
                        <w:rPr>
                          <w:rFonts w:hint="eastAsia" w:ascii="黑体" w:hAnsi="黑体" w:eastAsia="黑体" w:cs="Times New Roman"/>
                          <w:b/>
                          <w:color w:val="FFFFFF"/>
                          <w:sz w:val="52"/>
                          <w:szCs w:val="52"/>
                          <w:lang w:val="en-US" w:eastAsia="zh-CN"/>
                        </w:rPr>
                      </w:pPr>
                      <w:r>
                        <w:rPr>
                          <w:rFonts w:hint="eastAsia" w:ascii="黑体" w:hAnsi="黑体" w:eastAsia="黑体"/>
                          <w:b/>
                          <w:color w:val="FFFFFF"/>
                          <w:sz w:val="52"/>
                          <w:szCs w:val="52"/>
                        </w:rPr>
                        <w:t>第一部分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天津市消防救援总队</w:t>
                      </w:r>
                      <w:r>
                        <w:rPr>
                          <w:rFonts w:hint="eastAsia" w:ascii="黑体" w:hAnsi="黑体" w:eastAsia="黑体" w:cs="Times New Roman"/>
                          <w:b/>
                          <w:color w:val="FFFFFF"/>
                          <w:sz w:val="52"/>
                          <w:szCs w:val="52"/>
                          <w:lang w:val="en-US" w:eastAsia="zh-CN"/>
                        </w:rPr>
                        <w:t>训练与战勤保障支队</w:t>
                      </w:r>
                    </w:p>
                    <w:p>
                      <w:pPr>
                        <w:ind w:firstLine="1044" w:firstLineChars="200"/>
                      </w:pPr>
                      <w:r>
                        <w:rPr>
                          <w:rFonts w:hint="eastAsia" w:ascii="黑体" w:hAnsi="黑体" w:eastAsia="黑体" w:cs="Times New Roman"/>
                          <w:b/>
                          <w:color w:val="FFFFFF"/>
                          <w:sz w:val="52"/>
                          <w:szCs w:val="52"/>
                          <w:lang w:val="en-US" w:eastAsia="zh-CN"/>
                        </w:rPr>
                        <w:t xml:space="preserve">   </w:t>
                      </w:r>
                      <w:r>
                        <w:rPr>
                          <w:rFonts w:hint="eastAsia" w:ascii="黑体" w:hAnsi="黑体" w:eastAsia="黑体"/>
                          <w:b/>
                          <w:color w:val="FFFFFF"/>
                          <w:sz w:val="52"/>
                          <w:szCs w:val="52"/>
                        </w:rPr>
                        <w:t>概况</w:t>
                      </w:r>
                    </w:p>
                  </w:txbxContent>
                </v:textbox>
              </v:shape>
            </w:pict>
          </mc:Fallback>
        </mc:AlternateContent>
      </w:r>
      <w:r>
        <w:rPr>
          <w:rFonts w:eastAsia="仿宋"/>
          <w:sz w:val="32"/>
          <w:szCs w:val="32"/>
        </w:rPr>
        <mc:AlternateContent>
          <mc:Choice Requires="wps">
            <w:drawing>
              <wp:anchor distT="0" distB="0" distL="114300" distR="114300" simplePos="0" relativeHeight="251660288" behindDoc="1" locked="0" layoutInCell="1" allowOverlap="1">
                <wp:simplePos x="0" y="0"/>
                <wp:positionH relativeFrom="column">
                  <wp:posOffset>3154680</wp:posOffset>
                </wp:positionH>
                <wp:positionV relativeFrom="paragraph">
                  <wp:posOffset>-1038860</wp:posOffset>
                </wp:positionV>
                <wp:extent cx="3171190" cy="10845165"/>
                <wp:effectExtent l="5080" t="5080" r="5080" b="8255"/>
                <wp:wrapNone/>
                <wp:docPr id="29" name="矩形 29"/>
                <wp:cNvGraphicFramePr/>
                <a:graphic xmlns:a="http://schemas.openxmlformats.org/drawingml/2006/main">
                  <a:graphicData uri="http://schemas.microsoft.com/office/word/2010/wordprocessingShape">
                    <wps:wsp>
                      <wps:cNvSpPr/>
                      <wps:spPr>
                        <a:xfrm>
                          <a:off x="0" y="0"/>
                          <a:ext cx="3171190" cy="10845165"/>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txbxContent>
                      </wps:txbx>
                      <wps:bodyPr wrap="square" upright="1"/>
                    </wps:wsp>
                  </a:graphicData>
                </a:graphic>
              </wp:anchor>
            </w:drawing>
          </mc:Choice>
          <mc:Fallback>
            <w:pict>
              <v:rect id="_x0000_s1026" o:spid="_x0000_s1026" o:spt="1" style="position:absolute;left:0pt;margin-left:248.4pt;margin-top:-81.8pt;height:853.95pt;width:249.7pt;z-index:-251656192;mso-width-relative:page;mso-height-relative:page;" fillcolor="#CCFFCC" filled="t" stroked="t" coordsize="21600,21600" o:gfxdata="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d7osSd4AAAANAQAADwAAAAAAAAABACAAAAAiAAAAZHJzL2Rv&#10;d25yZXYueG1sUEsBAhQAFAAAAAgAh07iQPeLiGj7AQAA+wMAAA4AAAAAAAAAAQAgAAAALQEAAGRy&#10;cy9lMm9Eb2MueG1sUEsFBgAAAAAGAAYAWQEAAJoFAAAAAA==&#10;">
                <v:fill on="t" focussize="0,0"/>
                <v:stroke color="#000000" joinstyle="miter"/>
                <v:imagedata o:title=""/>
                <o:lock v:ext="edit" aspectratio="f"/>
                <v:textbox>
                  <w:txbxContent>
                    <w:p/>
                  </w:txbxContent>
                </v:textbox>
              </v:rect>
            </w:pict>
          </mc:Fallback>
        </mc:AlternateContent>
      </w:r>
      <w:r>
        <w:rPr>
          <w:rFonts w:eastAsia="仿宋"/>
          <w:sz w:val="32"/>
          <w:szCs w:val="32"/>
        </w:rPr>
        <w:br w:type="page"/>
      </w:r>
      <w:r>
        <w:rPr>
          <w:rFonts w:eastAsia="仿宋"/>
          <w:sz w:val="32"/>
          <w:szCs w:val="32"/>
        </w:rPr>
        <w:t xml:space="preserve">  </w:t>
      </w:r>
      <w:r>
        <w:rPr>
          <w:rFonts w:eastAsia="方正黑体_GBK"/>
          <w:sz w:val="32"/>
          <w:szCs w:val="32"/>
        </w:rPr>
        <w:t xml:space="preserve">  </w:t>
      </w:r>
      <w:r>
        <w:rPr>
          <w:rFonts w:hint="eastAsia" w:eastAsia="方正黑体_GBK"/>
          <w:sz w:val="32"/>
          <w:szCs w:val="32"/>
        </w:rPr>
        <w:t>一、</w:t>
      </w:r>
      <w:r>
        <w:rPr>
          <w:rFonts w:ascii="黑体" w:hAnsi="黑体" w:eastAsia="黑体"/>
          <w:sz w:val="32"/>
          <w:szCs w:val="32"/>
        </w:rPr>
        <w:t>主要职责</w:t>
      </w: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天津市消防救援总队</w:t>
      </w:r>
      <w:r>
        <w:rPr>
          <w:rFonts w:hint="eastAsia" w:ascii="仿宋_GB2312" w:hAnsi="Times New Roman" w:eastAsia="仿宋_GB2312" w:cs="Times New Roman"/>
          <w:sz w:val="32"/>
          <w:szCs w:val="32"/>
          <w:lang w:val="en-US" w:eastAsia="zh-CN"/>
        </w:rPr>
        <w:t>训练与战勤保障支队</w:t>
      </w:r>
      <w:r>
        <w:rPr>
          <w:rFonts w:hint="eastAsia" w:ascii="仿宋_GB2312" w:eastAsia="仿宋_GB2312"/>
          <w:sz w:val="32"/>
          <w:szCs w:val="32"/>
        </w:rPr>
        <w:t>在天津市消防救援总队的领导下，主要在总队业务部门的指导下承担综合性消防救援技术战术研究、业务训练演练，负责示范示教专业队伍规划、建设工作；负责各类大型活动、培训保障工作；承担消防员职业技能鉴定，负责地方机关、团体、企业、事业单位特有工种职业技能鉴定工作；承担培训人员的日常教育、管理和量化考评负责学员队的队伍规划、建设工作；承担总队级战勤保障工作，组织实施队伍战勤保障体系建设和战时应急战勤保障任务等工作任务。</w:t>
      </w:r>
    </w:p>
    <w:p>
      <w:pPr>
        <w:spacing w:line="520" w:lineRule="exact"/>
        <w:ind w:firstLine="640" w:firstLineChars="200"/>
        <w:rPr>
          <w:rFonts w:ascii="黑体" w:hAnsi="黑体" w:eastAsia="黑体"/>
          <w:sz w:val="32"/>
          <w:szCs w:val="32"/>
        </w:rPr>
      </w:pPr>
      <w:r>
        <w:rPr>
          <w:rFonts w:ascii="黑体" w:hAnsi="黑体" w:eastAsia="黑体"/>
          <w:sz w:val="32"/>
          <w:szCs w:val="32"/>
        </w:rPr>
        <w:t>二、部门预算单位构成</w:t>
      </w:r>
    </w:p>
    <w:p>
      <w:pPr>
        <w:pStyle w:val="2"/>
        <w:spacing w:line="560" w:lineRule="exact"/>
        <w:ind w:firstLine="640"/>
        <w:rPr>
          <w:rFonts w:hint="eastAsia" w:ascii="仿宋_GB2312" w:eastAsia="仿宋_GB2312"/>
          <w:sz w:val="32"/>
          <w:szCs w:val="32"/>
        </w:rPr>
      </w:pPr>
      <w:r>
        <w:rPr>
          <w:rFonts w:hint="eastAsia" w:ascii="仿宋_GB2312" w:eastAsia="仿宋_GB2312"/>
          <w:sz w:val="32"/>
          <w:szCs w:val="32"/>
        </w:rPr>
        <w:t>从预算单位构成看，天津市消防救援总队</w:t>
      </w:r>
      <w:r>
        <w:rPr>
          <w:rFonts w:hint="eastAsia" w:ascii="仿宋_GB2312" w:eastAsia="仿宋_GB2312"/>
          <w:sz w:val="32"/>
          <w:szCs w:val="32"/>
          <w:lang w:val="en-US" w:eastAsia="zh-CN"/>
        </w:rPr>
        <w:t>训练与战勤保障支队</w:t>
      </w:r>
      <w:r>
        <w:rPr>
          <w:rFonts w:hint="eastAsia" w:ascii="仿宋_GB2312" w:eastAsia="仿宋_GB2312"/>
          <w:sz w:val="32"/>
          <w:szCs w:val="32"/>
        </w:rPr>
        <w:t>预算单位包括：天津市消防救援总队</w:t>
      </w:r>
      <w:r>
        <w:rPr>
          <w:rFonts w:hint="eastAsia" w:ascii="仿宋_GB2312" w:eastAsia="仿宋_GB2312"/>
          <w:sz w:val="32"/>
          <w:szCs w:val="32"/>
          <w:lang w:val="en-US" w:eastAsia="zh-CN"/>
        </w:rPr>
        <w:t>训练与战勤保障支队</w:t>
      </w:r>
      <w:r>
        <w:rPr>
          <w:rFonts w:hint="eastAsia" w:ascii="仿宋_GB2312" w:eastAsia="仿宋_GB2312"/>
          <w:sz w:val="32"/>
          <w:szCs w:val="32"/>
          <w:lang w:eastAsia="zh-CN"/>
        </w:rPr>
        <w:t>训练与战勤保障支队</w:t>
      </w:r>
      <w:r>
        <w:rPr>
          <w:rFonts w:hint="eastAsia" w:ascii="仿宋_GB2312" w:eastAsia="仿宋_GB2312"/>
          <w:sz w:val="32"/>
          <w:szCs w:val="32"/>
        </w:rPr>
        <w:t>。天津市消防救援总队</w:t>
      </w:r>
      <w:r>
        <w:rPr>
          <w:rFonts w:hint="eastAsia" w:ascii="仿宋_GB2312" w:eastAsia="仿宋_GB2312"/>
          <w:sz w:val="32"/>
          <w:szCs w:val="32"/>
          <w:lang w:eastAsia="zh-CN"/>
        </w:rPr>
        <w:t>训练与战勤保障支队</w:t>
      </w:r>
      <w:r>
        <w:rPr>
          <w:rFonts w:hint="eastAsia" w:ascii="仿宋_GB2312" w:eastAsia="仿宋_GB2312"/>
          <w:sz w:val="32"/>
          <w:szCs w:val="32"/>
        </w:rPr>
        <w:t>为中央财政三级预算单位，无下辖单位。</w:t>
      </w: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0" w:firstLineChars="0"/>
        <w:rPr>
          <w:rFonts w:hint="eastAsia" w:ascii="仿宋_GB2312" w:eastAsia="仿宋_GB2312"/>
          <w:sz w:val="32"/>
          <w:szCs w:val="32"/>
        </w:rPr>
      </w:pPr>
    </w:p>
    <w:p>
      <w:pPr>
        <w:jc w:val="center"/>
        <w:rPr>
          <w:rFonts w:eastAsia="黑体"/>
          <w:b/>
          <w:sz w:val="36"/>
          <w:szCs w:val="36"/>
        </w:rPr>
      </w:pPr>
      <w:r>
        <w:rPr>
          <w:rFonts w:eastAsia="黑体"/>
          <w:b/>
          <w:sz w:val="36"/>
          <w:szCs w:val="36"/>
        </w:rPr>
        <mc:AlternateContent>
          <mc:Choice Requires="wpg">
            <w:drawing>
              <wp:anchor distT="0" distB="0" distL="114300" distR="114300" simplePos="0" relativeHeight="251659264" behindDoc="1" locked="0" layoutInCell="1" allowOverlap="1">
                <wp:simplePos x="0" y="0"/>
                <wp:positionH relativeFrom="column">
                  <wp:posOffset>-1466850</wp:posOffset>
                </wp:positionH>
                <wp:positionV relativeFrom="paragraph">
                  <wp:posOffset>-929640</wp:posOffset>
                </wp:positionV>
                <wp:extent cx="8343900" cy="11094720"/>
                <wp:effectExtent l="0" t="5080" r="0" b="0"/>
                <wp:wrapNone/>
                <wp:docPr id="15" name="组合 1080"/>
                <wp:cNvGraphicFramePr/>
                <a:graphic xmlns:a="http://schemas.openxmlformats.org/drawingml/2006/main">
                  <a:graphicData uri="http://schemas.microsoft.com/office/word/2010/wordprocessingGroup">
                    <wpg:wgp>
                      <wpg:cNvGrpSpPr/>
                      <wpg:grpSpPr>
                        <a:xfrm>
                          <a:off x="0" y="0"/>
                          <a:ext cx="8343900" cy="11094720"/>
                          <a:chOff x="0" y="0"/>
                          <a:chExt cx="13140" cy="17472"/>
                        </a:xfrm>
                        <a:effectLst/>
                      </wpg:grpSpPr>
                      <wps:wsp>
                        <wps:cNvPr id="6" name="矩形 6"/>
                        <wps:cNvSpPr>
                          <a:spLocks noChangeAspect="1" noTextEdit="1"/>
                        </wps:cNvSpPr>
                        <wps:spPr>
                          <a:xfrm>
                            <a:off x="0" y="0"/>
                            <a:ext cx="13140" cy="17472"/>
                          </a:xfrm>
                          <a:prstGeom prst="rect">
                            <a:avLst/>
                          </a:prstGeom>
                          <a:noFill/>
                          <a:ln>
                            <a:noFill/>
                          </a:ln>
                          <a:effectLst/>
                        </wps:spPr>
                        <wps:bodyPr wrap="square" upright="1"/>
                      </wps:wsp>
                      <wpg:grpSp>
                        <wpg:cNvPr id="14" name="组合 14"/>
                        <wpg:cNvGrpSpPr/>
                        <wpg:grpSpPr>
                          <a:xfrm>
                            <a:off x="540" y="0"/>
                            <a:ext cx="11830" cy="16969"/>
                            <a:chOff x="0" y="0"/>
                            <a:chExt cx="11830" cy="16969"/>
                          </a:xfrm>
                          <a:effectLst/>
                        </wpg:grpSpPr>
                        <wps:wsp>
                          <wps:cNvPr id="7" name="矩形 7"/>
                          <wps:cNvSpPr/>
                          <wps:spPr>
                            <a:xfrm>
                              <a:off x="6836" y="0"/>
                              <a:ext cx="4994" cy="16969"/>
                            </a:xfrm>
                            <a:prstGeom prst="rect">
                              <a:avLst/>
                            </a:prstGeom>
                            <a:solidFill>
                              <a:srgbClr val="CCFFCC"/>
                            </a:solidFill>
                            <a:ln w="9525" cap="flat" cmpd="sng">
                              <a:solidFill>
                                <a:srgbClr val="000000"/>
                              </a:solidFill>
                              <a:prstDash val="solid"/>
                              <a:miter/>
                              <a:headEnd type="none" w="med" len="med"/>
                              <a:tailEnd type="none" w="med" len="med"/>
                            </a:ln>
                            <a:effectLst/>
                          </wps:spPr>
                          <wps:bodyPr wrap="square" upright="1"/>
                        </wps:wsp>
                        <wpg:grpSp>
                          <wpg:cNvPr id="12" name="组合 12"/>
                          <wpg:cNvGrpSpPr/>
                          <wpg:grpSpPr>
                            <a:xfrm>
                              <a:off x="3600" y="0"/>
                              <a:ext cx="422" cy="16848"/>
                              <a:chOff x="0" y="0"/>
                              <a:chExt cx="422" cy="16848"/>
                            </a:xfrm>
                            <a:effectLst/>
                          </wpg:grpSpPr>
                          <wps:wsp>
                            <wps:cNvPr id="8" name="直接连接符 8"/>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9" name="直接连接符 9"/>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0" name="直接连接符 10"/>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1" name="直接连接符 11"/>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grpSp>
                        <wps:wsp>
                          <wps:cNvPr id="13" name="文本框 13"/>
                          <wps:cNvSpPr txBox="1"/>
                          <wps:spPr>
                            <a:xfrm>
                              <a:off x="0" y="6396"/>
                              <a:ext cx="11821"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jc w:val="left"/>
                                  <w:rPr>
                                    <w:rFonts w:hint="eastAsia" w:ascii="黑体" w:hAnsi="黑体" w:eastAsia="黑体"/>
                                    <w:b/>
                                    <w:color w:val="FFFFFF"/>
                                    <w:sz w:val="52"/>
                                    <w:szCs w:val="52"/>
                                  </w:rPr>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天津市消防救援总队</w:t>
                                </w:r>
                                <w:r>
                                  <w:rPr>
                                    <w:rFonts w:hint="eastAsia" w:ascii="黑体" w:hAnsi="黑体" w:eastAsia="黑体"/>
                                    <w:b/>
                                    <w:color w:val="FFFFFF"/>
                                    <w:sz w:val="52"/>
                                    <w:szCs w:val="52"/>
                                    <w:lang w:eastAsia="zh-CN"/>
                                  </w:rPr>
                                  <w:t>训练与战勤保障支队</w:t>
                                </w:r>
                                <w:r>
                                  <w:rPr>
                                    <w:rFonts w:hint="eastAsia" w:ascii="黑体" w:hAnsi="黑体" w:eastAsia="黑体"/>
                                    <w:b/>
                                    <w:color w:val="FFFFFF"/>
                                    <w:sz w:val="52"/>
                                    <w:szCs w:val="52"/>
                                  </w:rPr>
                                  <w:t>2022年部门预算表</w:t>
                                </w:r>
                              </w:p>
                              <w:p>
                                <w:pPr>
                                  <w:ind w:firstLine="1044" w:firstLineChars="200"/>
                                  <w:jc w:val="left"/>
                                </w:pPr>
                                <w:r>
                                  <w:rPr>
                                    <w:rFonts w:hint="eastAsia" w:ascii="黑体" w:hAnsi="黑体" w:eastAsia="黑体"/>
                                    <w:b/>
                                    <w:color w:val="FFFFFF"/>
                                    <w:sz w:val="52"/>
                                    <w:szCs w:val="52"/>
                                  </w:rPr>
                                  <w:t>（见附表）</w:t>
                                </w:r>
                              </w:p>
                            </w:txbxContent>
                          </wps:txbx>
                          <wps:bodyPr wrap="square" upright="1"/>
                        </wps:wsp>
                      </wpg:grpSp>
                    </wpg:wgp>
                  </a:graphicData>
                </a:graphic>
              </wp:anchor>
            </w:drawing>
          </mc:Choice>
          <mc:Fallback>
            <w:pict>
              <v:group id="组合 1080" o:spid="_x0000_s1026" o:spt="203" style="position:absolute;left:0pt;margin-left:-115.5pt;margin-top:-73.2pt;height:873.6pt;width:657pt;z-index:-251657216;mso-width-relative:page;mso-height-relative:page;" coordsize="13140,17472" o:gfxdata="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">
                <o:lock v:ext="edit" aspectratio="f"/>
                <v:rect id="_x0000_s1026" o:spid="_x0000_s1026" o:spt="1" style="position:absolute;left:0;top:0;height:17472;width:13140;"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text="t" aspectratio="t"/>
                </v:rect>
                <v:group id="_x0000_s1026" o:spid="_x0000_s1026" o:spt="203" style="position:absolute;left:540;top:0;height:16969;width:11830;" coordsize="11830,16969" o:gfxdata="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TWXFr0AAADbAAAADwAAAAAAAAABACAAAAAiAAAAZHJzL2Rvd25yZXYueG1s&#10;UEsBAhQAFAAAAAgAh07iQDMvBZ47AAAAOQAAABUAAAAAAAAAAQAgAAAADAEAAGRycy9ncm91cHNo&#10;YXBleG1sLnhtbFBLBQYAAAAABgAGAGABAADJAwAAAAA=&#10;">
                  <o:lock v:ext="edit" aspectratio="f"/>
                  <v:rect id="_x0000_s1026" o:spid="_x0000_s1026" o:spt="1" style="position:absolute;left:6836;top:0;height:16969;width:4994;" fillcolor="#CCFFCC" filled="t" stroked="t" coordsize="21600,21600" o:gfxdata="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hKf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group id="_x0000_s1026" o:spid="_x0000_s1026" o:spt="203" style="position:absolute;left:3600;top:0;height:16848;width:422;" coordsize="422,16848"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156;top:0;height:16848;width:2;" filled="f" stroked="t" coordsize="21600,21600" o:gfxdata="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W3MVvQAA&#10;ANo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jRfWjr8AAADa&#10;AAAADwAAAGRycy9kb3ducmV2LnhtbEWPQWvCQBSE70L/w/IKvZlNPFiNbkIRK4UWxCja4yP7TILZ&#10;tzG7Vdtf3y0UPA4z8w0zz2+mFRfqXWNZQRLFIIhLqxuuFOy2r8MJCOeRNbaWScE3Ocizh8EcU22v&#10;vKFL4SsRIOxSVFB736VSurImgy6yHXHwjrY36IPsK6l7vAa4aeUojsfSYMNhocaOFjWVp+LLKJi8&#10;v5yX+49i/CNXx/XzIbGn9epTqafHJJ6B8HTz9/B/+00rmMLflXADZPY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X1o6/&#10;AAAA2g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VGK/S7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6+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iv0u/&#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Oy4a0L0AAADb&#10;AAAADwAAAGRycy9kb3ducmV2LnhtbEVPTWvCQBC9C/0Pywi9mU08WIlZpUiVQgvSWGqPQ3ZMgtnZ&#10;NLtNrL++Kwje5vE+J1udTSN66lxtWUESxSCIC6trLhV87jeTOQjnkTU2lknBHzlYLR9GGabaDvxB&#10;fe5LEULYpaig8r5NpXRFRQZdZFviwB1tZ9AH2JVSdziEcNPIaRzPpMGaQ0OFLa0rKk75r1Ewf3v+&#10;efl6z2cXuT3ung6JPe2230o9jpN4AcLT2d/FN/erDvMTuP4SDp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LhrQ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group>
                  <v:shape id="_x0000_s1026" o:spid="_x0000_s1026" o:spt="202" type="#_x0000_t202" style="position:absolute;left:0;top:6396;height:3588;width:11821;" fillcolor="#CC99FF" filled="t" stroked="t" coordsize="21600,21600" o:gfxdata="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6R9iE7gAAADbAAAA&#10;DwAAAAAAAAABACAAAAAiAAAAZHJzL2Rvd25yZXYueG1sUEsBAhQAFAAAAAgAh07iQDMvBZ47AAAA&#10;OQAAABAAAAAAAAAAAQAgAAAABwEAAGRycy9zaGFwZXhtbC54bWxQSwUGAAAAAAYABgBbAQAAsQMA&#10;AAAA&#10;">
                    <v:fill on="t" focussize="0,0"/>
                    <v:stroke color="#000000" joinstyle="miter"/>
                    <v:imagedata o:title=""/>
                    <o:lock v:ext="edit" aspectratio="f"/>
                    <v:textbox>
                      <w:txbxContent>
                        <w:p>
                          <w:pPr>
                            <w:ind w:firstLine="522" w:firstLineChars="100"/>
                            <w:jc w:val="left"/>
                            <w:rPr>
                              <w:rFonts w:hint="eastAsia" w:ascii="黑体" w:hAnsi="黑体" w:eastAsia="黑体"/>
                              <w:b/>
                              <w:color w:val="FFFFFF"/>
                              <w:sz w:val="52"/>
                              <w:szCs w:val="52"/>
                            </w:rPr>
                          </w:pPr>
                          <w:r>
                            <w:rPr>
                              <w:rFonts w:hint="eastAsia" w:ascii="黑体" w:hAnsi="黑体" w:eastAsia="黑体"/>
                              <w:b/>
                              <w:color w:val="FFFFFF"/>
                              <w:sz w:val="52"/>
                              <w:szCs w:val="52"/>
                            </w:rPr>
                            <w:t>第二部分</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天津市消防救援总队</w:t>
                          </w:r>
                          <w:r>
                            <w:rPr>
                              <w:rFonts w:hint="eastAsia" w:ascii="黑体" w:hAnsi="黑体" w:eastAsia="黑体"/>
                              <w:b/>
                              <w:color w:val="FFFFFF"/>
                              <w:sz w:val="52"/>
                              <w:szCs w:val="52"/>
                              <w:lang w:eastAsia="zh-CN"/>
                            </w:rPr>
                            <w:t>训练与战勤保障支队</w:t>
                          </w:r>
                          <w:r>
                            <w:rPr>
                              <w:rFonts w:hint="eastAsia" w:ascii="黑体" w:hAnsi="黑体" w:eastAsia="黑体"/>
                              <w:b/>
                              <w:color w:val="FFFFFF"/>
                              <w:sz w:val="52"/>
                              <w:szCs w:val="52"/>
                            </w:rPr>
                            <w:t>2022年部门预算表</w:t>
                          </w:r>
                        </w:p>
                        <w:p>
                          <w:pPr>
                            <w:ind w:firstLine="1044" w:firstLineChars="200"/>
                            <w:jc w:val="left"/>
                          </w:pPr>
                          <w:r>
                            <w:rPr>
                              <w:rFonts w:hint="eastAsia" w:ascii="黑体" w:hAnsi="黑体" w:eastAsia="黑体"/>
                              <w:b/>
                              <w:color w:val="FFFFFF"/>
                              <w:sz w:val="52"/>
                              <w:szCs w:val="52"/>
                            </w:rPr>
                            <w:t>（见附表）</w:t>
                          </w:r>
                        </w:p>
                      </w:txbxContent>
                    </v:textbox>
                  </v:shape>
                </v:group>
              </v:group>
            </w:pict>
          </mc:Fallback>
        </mc:AlternateContent>
      </w:r>
    </w:p>
    <w:p>
      <w:pPr>
        <w:jc w:val="center"/>
        <w:rPr>
          <w:rFonts w:eastAsia="黑体"/>
          <w:b/>
          <w:sz w:val="36"/>
          <w:szCs w:val="36"/>
        </w:rPr>
      </w:pPr>
    </w:p>
    <w:p>
      <w:pPr>
        <w:jc w:val="center"/>
        <w:rPr>
          <w:rFonts w:eastAsia="黑体"/>
          <w:b/>
          <w:sz w:val="36"/>
          <w:szCs w:val="36"/>
        </w:rPr>
      </w:pPr>
    </w:p>
    <w:p>
      <w:pPr>
        <w:jc w:val="center"/>
        <w:rPr>
          <w:rFonts w:eastAsia="黑体"/>
          <w:b/>
          <w:sz w:val="36"/>
          <w:szCs w:val="36"/>
        </w:rPr>
      </w:pPr>
    </w:p>
    <w:p>
      <w:pPr>
        <w:jc w:val="center"/>
        <w:rPr>
          <w:rFonts w:eastAsia="黑体"/>
          <w:b/>
          <w:sz w:val="36"/>
          <w:szCs w:val="36"/>
        </w:rPr>
      </w:pPr>
    </w:p>
    <w:p>
      <w:pPr>
        <w:jc w:val="center"/>
        <w:rPr>
          <w:rFonts w:eastAsia="黑体"/>
          <w:b/>
          <w:sz w:val="36"/>
          <w:szCs w:val="36"/>
        </w:rPr>
      </w:pPr>
    </w:p>
    <w:p>
      <w:pPr>
        <w:jc w:val="center"/>
        <w:rPr>
          <w:rFonts w:eastAsia="黑体"/>
          <w:b/>
          <w:sz w:val="36"/>
          <w:szCs w:val="36"/>
        </w:rPr>
      </w:pPr>
    </w:p>
    <w:p>
      <w:pPr>
        <w:jc w:val="center"/>
        <w:rPr>
          <w:rFonts w:eastAsia="黑体"/>
          <w:b/>
          <w:sz w:val="36"/>
          <w:szCs w:val="36"/>
        </w:rPr>
      </w:pPr>
    </w:p>
    <w:p>
      <w:pPr>
        <w:rPr>
          <w:rFonts w:eastAsia="黑体"/>
          <w:b/>
          <w:sz w:val="36"/>
          <w:szCs w:val="36"/>
        </w:rPr>
      </w:pPr>
    </w:p>
    <w:p>
      <w:pPr>
        <w:rPr>
          <w:rFonts w:eastAsia="黑体"/>
          <w:b/>
          <w:sz w:val="36"/>
          <w:szCs w:val="36"/>
        </w:rPr>
      </w:pPr>
    </w:p>
    <w:p>
      <w:pPr>
        <w:rPr>
          <w:rFonts w:eastAsia="黑体"/>
          <w:b/>
          <w:sz w:val="36"/>
          <w:szCs w:val="36"/>
        </w:rPr>
      </w:pPr>
    </w:p>
    <w:p>
      <w:pPr>
        <w:jc w:val="center"/>
        <w:rPr>
          <w:rFonts w:eastAsia="黑体"/>
          <w:b/>
          <w:sz w:val="36"/>
          <w:szCs w:val="36"/>
        </w:rPr>
      </w:pPr>
    </w:p>
    <w:p>
      <w:pPr>
        <w:rPr>
          <w:rFonts w:eastAsia="黑体"/>
          <w:b/>
          <w:sz w:val="36"/>
          <w:szCs w:val="36"/>
        </w:rPr>
      </w:pPr>
    </w:p>
    <w:p>
      <w:pPr>
        <w:rPr>
          <w:rFonts w:eastAsia="黑体"/>
          <w:b/>
          <w:sz w:val="36"/>
          <w:szCs w:val="36"/>
        </w:rPr>
      </w:pPr>
    </w:p>
    <w:p>
      <w:pPr>
        <w:widowControl/>
        <w:jc w:val="center"/>
        <w:rPr>
          <w:b/>
          <w:bCs/>
          <w:kern w:val="0"/>
          <w:sz w:val="24"/>
        </w:rPr>
      </w:pPr>
    </w:p>
    <w:p>
      <w:pPr>
        <w:widowControl/>
        <w:ind w:left="-542" w:leftChars="-770" w:hanging="1075" w:hangingChars="448"/>
        <w:jc w:val="center"/>
        <w:rPr>
          <w:b/>
          <w:bCs/>
          <w:kern w:val="0"/>
          <w:sz w:val="24"/>
        </w:rPr>
      </w:pPr>
    </w:p>
    <w:p>
      <w:pPr>
        <w:widowControl/>
        <w:ind w:left="-1079" w:leftChars="-514"/>
        <w:jc w:val="center"/>
        <w:rPr>
          <w:b/>
          <w:bCs/>
          <w:kern w:val="0"/>
          <w:sz w:val="24"/>
        </w:rPr>
      </w:pPr>
    </w:p>
    <w:p>
      <w:pPr>
        <w:ind w:leftChars="-599" w:hanging="1252" w:hangingChars="348"/>
        <w:rPr>
          <w:rFonts w:eastAsia="黑体"/>
          <w:b/>
          <w:sz w:val="36"/>
          <w:szCs w:val="36"/>
        </w:rPr>
      </w:pPr>
    </w:p>
    <w:p>
      <w:pPr>
        <w:rPr>
          <w:rFonts w:eastAsia="黑体"/>
          <w:b/>
          <w:sz w:val="36"/>
          <w:szCs w:val="36"/>
        </w:rPr>
      </w:pPr>
    </w:p>
    <w:p>
      <w:pPr>
        <w:rPr>
          <w:rFonts w:eastAsia="黑体"/>
          <w:b/>
          <w:sz w:val="36"/>
          <w:szCs w:val="36"/>
        </w:rPr>
      </w:pPr>
    </w:p>
    <w:p>
      <w:pPr>
        <w:rPr>
          <w:rFonts w:eastAsia="黑体"/>
          <w:b/>
          <w:sz w:val="36"/>
          <w:szCs w:val="36"/>
        </w:rPr>
      </w:pPr>
    </w:p>
    <w:p>
      <w:pPr>
        <w:pStyle w:val="2"/>
        <w:ind w:firstLine="723"/>
        <w:rPr>
          <w:rFonts w:eastAsia="黑体"/>
          <w:b/>
          <w:sz w:val="36"/>
          <w:szCs w:val="36"/>
        </w:rPr>
      </w:pPr>
    </w:p>
    <w:p>
      <w:pPr>
        <w:pStyle w:val="2"/>
        <w:ind w:firstLine="723"/>
        <w:rPr>
          <w:rFonts w:eastAsia="黑体"/>
          <w:b/>
          <w:sz w:val="36"/>
          <w:szCs w:val="36"/>
        </w:rPr>
      </w:pPr>
    </w:p>
    <w:p>
      <w:pPr>
        <w:pStyle w:val="2"/>
        <w:ind w:firstLine="723"/>
        <w:rPr>
          <w:rFonts w:eastAsia="黑体"/>
          <w:b/>
          <w:sz w:val="36"/>
          <w:szCs w:val="36"/>
        </w:rPr>
      </w:pPr>
    </w:p>
    <w:p>
      <w:pPr>
        <w:pStyle w:val="2"/>
        <w:ind w:firstLine="723"/>
        <w:rPr>
          <w:rFonts w:eastAsia="黑体"/>
          <w:b/>
          <w:sz w:val="36"/>
          <w:szCs w:val="36"/>
        </w:rPr>
      </w:pPr>
    </w:p>
    <w:p>
      <w:pPr>
        <w:ind w:right="277" w:rightChars="132"/>
        <w:rPr>
          <w:rFonts w:eastAsia="黑体"/>
          <w:b/>
          <w:sz w:val="36"/>
          <w:szCs w:val="36"/>
        </w:rPr>
      </w:pPr>
      <w:r>
        <w:rPr>
          <w:rFonts w:eastAsia="仿宋"/>
          <w:b/>
          <w:sz w:val="32"/>
          <w:szCs w:val="32"/>
        </w:rPr>
        <mc:AlternateContent>
          <mc:Choice Requires="wps">
            <w:drawing>
              <wp:anchor distT="0" distB="0" distL="114300" distR="114300" simplePos="0" relativeHeight="251663360" behindDoc="1" locked="0" layoutInCell="1" allowOverlap="1">
                <wp:simplePos x="0" y="0"/>
                <wp:positionH relativeFrom="column">
                  <wp:posOffset>3261360</wp:posOffset>
                </wp:positionH>
                <wp:positionV relativeFrom="paragraph">
                  <wp:posOffset>-936625</wp:posOffset>
                </wp:positionV>
                <wp:extent cx="3171190" cy="10800080"/>
                <wp:effectExtent l="5080" t="5080" r="5080" b="15240"/>
                <wp:wrapNone/>
                <wp:docPr id="41" name="矩形 41"/>
                <wp:cNvGraphicFramePr/>
                <a:graphic xmlns:a="http://schemas.openxmlformats.org/drawingml/2006/main">
                  <a:graphicData uri="http://schemas.microsoft.com/office/word/2010/wordprocessingShape">
                    <wps:wsp>
                      <wps:cNvSpPr/>
                      <wps:spPr>
                        <a:xfrm>
                          <a:off x="0" y="0"/>
                          <a:ext cx="3171190" cy="10800080"/>
                        </a:xfrm>
                        <a:prstGeom prst="rect">
                          <a:avLst/>
                        </a:prstGeom>
                        <a:solidFill>
                          <a:srgbClr val="CCFFCC"/>
                        </a:solidFill>
                        <a:ln w="9525" cap="flat" cmpd="sng">
                          <a:solidFill>
                            <a:srgbClr val="000000"/>
                          </a:solidFill>
                          <a:prstDash val="solid"/>
                          <a:miter/>
                          <a:headEnd type="none" w="med" len="med"/>
                          <a:tailEnd type="none" w="med" len="med"/>
                        </a:ln>
                        <a:effectLst/>
                      </wps:spPr>
                      <wps:bodyPr wrap="square" upright="1"/>
                    </wps:wsp>
                  </a:graphicData>
                </a:graphic>
              </wp:anchor>
            </w:drawing>
          </mc:Choice>
          <mc:Fallback>
            <w:pict>
              <v:rect id="_x0000_s1026" o:spid="_x0000_s1026" o:spt="1" style="position:absolute;left:0pt;margin-left:256.8pt;margin-top:-73.75pt;height:850.4pt;width:249.7pt;z-index:-251653120;mso-width-relative:page;mso-height-relative:page;" fillcolor="#CCFFCC" filled="t" stroked="t" coordsize="21600,21600" o:gfxdata="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pb0ae3gAAAA4BAAAPAAAAAAAAAAEAIAAAACIAAABkcnMvZG93bnJldi54&#10;bWxQSwECFAAUAAAACACHTuJA0YKNpvQBAADwAwAADgAAAAAAAAABACAAAAAtAQAAZHJzL2Uyb0Rv&#10;Yy54bWxQSwUGAAAAAAYABgBZAQAAkwUAAAAA&#10;">
                <v:fill on="t" focussize="0,0"/>
                <v:stroke color="#000000" joinstyle="miter"/>
                <v:imagedata o:title=""/>
                <o:lock v:ext="edit" aspectratio="f"/>
              </v:rect>
            </w:pict>
          </mc:Fallback>
        </mc:AlternateContent>
      </w:r>
      <w:bookmarkStart w:id="0" w:name="_1490679828"/>
      <w:bookmarkEnd w:id="0"/>
      <w:bookmarkStart w:id="1" w:name="_1490679756"/>
      <w:bookmarkEnd w:id="1"/>
      <w:bookmarkStart w:id="2" w:name="_1490939084"/>
      <w:bookmarkEnd w:id="2"/>
      <w:bookmarkStart w:id="3" w:name="_1490679875"/>
      <w:bookmarkEnd w:id="3"/>
      <w:r>
        <w:rPr>
          <w:rFonts w:eastAsia="黑体"/>
          <w:sz w:val="32"/>
          <w:szCs w:val="32"/>
        </w:rPr>
        <mc:AlternateContent>
          <mc:Choice Requires="wps">
            <w:drawing>
              <wp:anchor distT="0" distB="0" distL="114300" distR="114300" simplePos="0" relativeHeight="251665408" behindDoc="1" locked="0" layoutInCell="1" allowOverlap="1">
                <wp:simplePos x="0" y="0"/>
                <wp:positionH relativeFrom="column">
                  <wp:posOffset>-1028700</wp:posOffset>
                </wp:positionH>
                <wp:positionV relativeFrom="paragraph">
                  <wp:posOffset>2872740</wp:posOffset>
                </wp:positionV>
                <wp:extent cx="7461885" cy="2278380"/>
                <wp:effectExtent l="5080" t="4445" r="19685" b="22225"/>
                <wp:wrapNone/>
                <wp:docPr id="40" name="文本框 40"/>
                <wp:cNvGraphicFramePr/>
                <a:graphic xmlns:a="http://schemas.openxmlformats.org/drawingml/2006/main">
                  <a:graphicData uri="http://schemas.microsoft.com/office/word/2010/wordprocessingShape">
                    <wps:wsp>
                      <wps:cNvSpPr txBox="1"/>
                      <wps:spPr>
                        <a:xfrm>
                          <a:off x="0" y="0"/>
                          <a:ext cx="7543800" cy="2278380"/>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522" w:firstLineChars="100"/>
                              <w:rPr>
                                <w:rFonts w:hint="eastAsia"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天津市消防救援总队</w:t>
                            </w:r>
                            <w:r>
                              <w:rPr>
                                <w:rFonts w:hint="eastAsia" w:ascii="黑体" w:hAnsi="黑体" w:eastAsia="黑体"/>
                                <w:b/>
                                <w:color w:val="FFFFFF"/>
                                <w:sz w:val="52"/>
                                <w:szCs w:val="52"/>
                                <w:lang w:eastAsia="zh-CN"/>
                              </w:rPr>
                              <w:t>训练与战勤保障支队</w:t>
                            </w:r>
                            <w:r>
                              <w:rPr>
                                <w:rFonts w:hint="eastAsia" w:ascii="黑体" w:hAnsi="黑体" w:eastAsia="黑体"/>
                                <w:b/>
                                <w:color w:val="FFFFFF"/>
                                <w:sz w:val="52"/>
                                <w:szCs w:val="52"/>
                              </w:rPr>
                              <w:t>2022年部门预算</w:t>
                            </w:r>
                          </w:p>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情况说明</w:t>
                            </w:r>
                          </w:p>
                        </w:txbxContent>
                      </wps:txbx>
                      <wps:bodyPr wrap="square" upright="1"/>
                    </wps:wsp>
                  </a:graphicData>
                </a:graphic>
              </wp:anchor>
            </w:drawing>
          </mc:Choice>
          <mc:Fallback>
            <w:pict>
              <v:shape id="_x0000_s1026" o:spid="_x0000_s1026" o:spt="202" type="#_x0000_t202" style="position:absolute;left:0pt;margin-left:-81pt;margin-top:226.2pt;height:179.4pt;width:587.55pt;z-index:-251651072;mso-width-relative:page;mso-height-relative:page;" fillcolor="#CC99FF" filled="t" stroked="t" coordsize="21600,21600" o:gfxdata="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&#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UqdWbaAAAADQEAAA8AAAAAAAAAAQAgAAAAIgAAAGRy&#10;cy9kb3ducmV2LnhtbFBLAQIUABQAAAAIAIdO4kDXLdt0AwIAAAcEAAAOAAAAAAAAAAEAIAAAACkB&#10;AABkcnMvZTJvRG9jLnhtbFBLBQYAAAAABgAGAFkBAACeBQAAAAA=&#10;">
                <v:fill on="t" focussize="0,0"/>
                <v:stroke color="#000000" joinstyle="miter"/>
                <v:imagedata o:title=""/>
                <o:lock v:ext="edit" aspectratio="f"/>
                <v:textbox>
                  <w:txbxContent>
                    <w:p>
                      <w:pPr>
                        <w:ind w:firstLine="522" w:firstLineChars="100"/>
                        <w:rPr>
                          <w:rFonts w:hint="eastAsia" w:ascii="黑体" w:hAnsi="黑体" w:eastAsia="黑体"/>
                          <w:b/>
                          <w:color w:val="FFFFFF"/>
                          <w:sz w:val="52"/>
                          <w:szCs w:val="52"/>
                        </w:rPr>
                      </w:pPr>
                      <w:r>
                        <w:rPr>
                          <w:rFonts w:hint="eastAsia" w:ascii="黑体" w:hAnsi="黑体" w:eastAsia="黑体"/>
                          <w:b/>
                          <w:color w:val="FFFFFF"/>
                          <w:sz w:val="52"/>
                          <w:szCs w:val="52"/>
                        </w:rPr>
                        <w:t xml:space="preserve">第三部分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天津市消防救援总队</w:t>
                      </w:r>
                      <w:r>
                        <w:rPr>
                          <w:rFonts w:hint="eastAsia" w:ascii="黑体" w:hAnsi="黑体" w:eastAsia="黑体"/>
                          <w:b/>
                          <w:color w:val="FFFFFF"/>
                          <w:sz w:val="52"/>
                          <w:szCs w:val="52"/>
                          <w:lang w:eastAsia="zh-CN"/>
                        </w:rPr>
                        <w:t>训练与战勤保障支队</w:t>
                      </w:r>
                      <w:r>
                        <w:rPr>
                          <w:rFonts w:hint="eastAsia" w:ascii="黑体" w:hAnsi="黑体" w:eastAsia="黑体"/>
                          <w:b/>
                          <w:color w:val="FFFFFF"/>
                          <w:sz w:val="52"/>
                          <w:szCs w:val="52"/>
                        </w:rPr>
                        <w:t>2022年部门预算</w:t>
                      </w:r>
                    </w:p>
                    <w:p>
                      <w:pPr>
                        <w:ind w:firstLine="522" w:firstLineChars="100"/>
                        <w:rPr>
                          <w:rFonts w:ascii="黑体" w:hAnsi="黑体" w:eastAsia="黑体"/>
                          <w:b/>
                          <w:color w:val="FFFFFF"/>
                          <w:sz w:val="52"/>
                          <w:szCs w:val="52"/>
                        </w:rPr>
                      </w:pPr>
                      <w:r>
                        <w:rPr>
                          <w:rFonts w:hint="eastAsia" w:ascii="黑体" w:hAnsi="黑体" w:eastAsia="黑体"/>
                          <w:b/>
                          <w:color w:val="FFFFFF"/>
                          <w:sz w:val="52"/>
                          <w:szCs w:val="52"/>
                        </w:rPr>
                        <w:t>情况说明</w:t>
                      </w:r>
                    </w:p>
                  </w:txbxContent>
                </v:textbox>
              </v:shape>
            </w:pict>
          </mc:Fallback>
        </mc:AlternateContent>
      </w:r>
      <w:r>
        <w:rPr>
          <w:rFonts w:eastAsia="仿宋"/>
          <w:b/>
          <w:sz w:val="32"/>
          <w:szCs w:val="32"/>
        </w:rPr>
        <mc:AlternateContent>
          <mc:Choice Requires="wpg">
            <w:drawing>
              <wp:anchor distT="0" distB="0" distL="114300" distR="114300" simplePos="0" relativeHeight="251664384" behindDoc="1" locked="0" layoutInCell="1" allowOverlap="1">
                <wp:simplePos x="0" y="0"/>
                <wp:positionH relativeFrom="column">
                  <wp:posOffset>1257300</wp:posOffset>
                </wp:positionH>
                <wp:positionV relativeFrom="paragraph">
                  <wp:posOffset>-891540</wp:posOffset>
                </wp:positionV>
                <wp:extent cx="267970" cy="10698480"/>
                <wp:effectExtent l="6350" t="0" r="11430" b="7620"/>
                <wp:wrapNone/>
                <wp:docPr id="20" name="组合 1073"/>
                <wp:cNvGraphicFramePr/>
                <a:graphic xmlns:a="http://schemas.openxmlformats.org/drawingml/2006/main">
                  <a:graphicData uri="http://schemas.microsoft.com/office/word/2010/wordprocessingGroup">
                    <wpg:wgp>
                      <wpg:cNvGrpSpPr/>
                      <wpg:grpSpPr>
                        <a:xfrm>
                          <a:off x="0" y="0"/>
                          <a:ext cx="267970" cy="10698480"/>
                          <a:chOff x="0" y="0"/>
                          <a:chExt cx="422" cy="16848"/>
                        </a:xfrm>
                        <a:effectLst/>
                      </wpg:grpSpPr>
                      <wps:wsp>
                        <wps:cNvPr id="16" name="直接连接符 16"/>
                        <wps:cNvCnPr/>
                        <wps:spPr>
                          <a:xfrm>
                            <a:off x="156" y="0"/>
                            <a:ext cx="2" cy="16848"/>
                          </a:xfrm>
                          <a:prstGeom prst="line">
                            <a:avLst/>
                          </a:prstGeom>
                          <a:ln w="12700" cap="flat" cmpd="sng">
                            <a:solidFill>
                              <a:srgbClr val="CCCC00"/>
                            </a:solidFill>
                            <a:prstDash val="solid"/>
                            <a:headEnd type="none" w="med" len="med"/>
                            <a:tailEnd type="none" w="med" len="med"/>
                          </a:ln>
                          <a:effectLst/>
                        </wps:spPr>
                        <wps:bodyPr upright="1"/>
                      </wps:wsp>
                      <wps:wsp>
                        <wps:cNvPr id="17" name="直接连接符 17"/>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18" name="直接连接符 18"/>
                        <wps:cNvCnPr/>
                        <wps:spPr>
                          <a:xfrm>
                            <a:off x="0" y="0"/>
                            <a:ext cx="2" cy="16848"/>
                          </a:xfrm>
                          <a:prstGeom prst="line">
                            <a:avLst/>
                          </a:prstGeom>
                          <a:ln w="12700" cap="flat" cmpd="sng">
                            <a:solidFill>
                              <a:srgbClr val="CCCC00"/>
                            </a:solidFill>
                            <a:prstDash val="solid"/>
                            <a:headEnd type="none" w="med" len="med"/>
                            <a:tailEnd type="none" w="med" len="med"/>
                          </a:ln>
                          <a:effectLst/>
                        </wps:spPr>
                        <wps:bodyPr upright="1"/>
                      </wps:wsp>
                      <wps:wsp>
                        <wps:cNvPr id="19" name="直接连接符 19"/>
                        <wps:cNvCnPr/>
                        <wps:spPr>
                          <a:xfrm>
                            <a:off x="280" y="0"/>
                            <a:ext cx="1" cy="16848"/>
                          </a:xfrm>
                          <a:prstGeom prst="line">
                            <a:avLst/>
                          </a:prstGeom>
                          <a:ln w="12700" cap="flat" cmpd="sng">
                            <a:solidFill>
                              <a:srgbClr val="CCCC00"/>
                            </a:solidFill>
                            <a:prstDash val="solid"/>
                            <a:headEnd type="none" w="med" len="med"/>
                            <a:tailEnd type="none" w="med" len="med"/>
                          </a:ln>
                          <a:effectLst/>
                        </wps:spPr>
                        <wps:bodyPr upright="1"/>
                      </wps:wsp>
                    </wpg:wgp>
                  </a:graphicData>
                </a:graphic>
              </wp:anchor>
            </w:drawing>
          </mc:Choice>
          <mc:Fallback>
            <w:pict>
              <v:group id="组合 1073" o:spid="_x0000_s1026" o:spt="203" style="position:absolute;left:0pt;margin-left:99pt;margin-top:-70.2pt;height:842.4pt;width:21.1pt;z-index:-251652096;mso-width-relative:page;mso-height-relative:page;" coordsize="422,16848" o:gfxdata="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M7OyabbAAAADQEAAA8AAAAAAAAAAQAgAAAAIgAAAGRycy9kb3ducmV2LnhtbFBLAQIU&#10;ABQAAAAIAIdO4kBnUqP9mwIAACcLAAAOAAAAAAAAAAEAIAAAACoBAABkcnMvZTJvRG9jLnhtbFBL&#10;BQYAAAAABgAGAFkBAAA3BgAAAAA=&#10;">
                <o:lock v:ext="edit" aspectratio="f"/>
                <v:line id="_x0000_s1026" o:spid="_x0000_s1026" o:spt="20" style="position:absolute;left:156;top:0;height:16848;width:2;" filled="f" stroked="t" coordsize="21600,21600" o:gfxdata="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x4Kk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24snP70AAADb&#10;AAAADwAAAGRycy9kb3ducmV2LnhtbEVPTWvCQBC9F/oflin0VjfxYCS6hlJaKViQRlGPQ3ZMQrKz&#10;Mbtq6q/vCoXe5vE+Z54NphUX6l1tWUE8ikAQF1bXXCrYbj5epiCcR9bYWiYFP+QgWzw+zDHV9srf&#10;dMl9KUIIuxQVVN53qZSuqMigG9mOOHBH2xv0Afal1D1eQ7hp5TiKJtJgzaGhwo7eKiqa/GwUTFev&#10;p/fdVz65yeVxnexj26yXB6Wen+JoBsLT4P/Ff+5PHeYncP8lHC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iyc/vQAA&#10;ANsAAAAPAAAAAAAAAAEAIAAAACIAAABkcnMvZG93bnJldi54bWxQSwECFAAUAAAACACHTuJAMy8F&#10;njsAAAA5AAAAEAAAAAAAAAABACAAAAAMAQAAZHJzL3NoYXBleG1sLnhtbFBLBQYAAAAABgAGAFsB&#10;AAC2AwAAAAA=&#10;">
                  <v:fill on="f" focussize="0,0"/>
                  <v:stroke weight="1pt" color="#CCCC00" joinstyle="round"/>
                  <v:imagedata o:title=""/>
                  <o:lock v:ext="edit" aspectratio="f"/>
                </v:line>
                <v:line id="_x0000_s1026" o:spid="_x0000_s1026" o:spt="20" style="position:absolute;left:0;top:0;height:16848;width:2;" filled="f" stroked="t" coordsize="21600,21600" o:gfxdata="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Us02/&#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80;top:0;height:16848;width:1;" filled="f" stroked="t" coordsize="21600,21600" o:gfxdata="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VYFta8AAAA&#10;2wAAAA8AAAAAAAAAAQAgAAAAIgAAAGRycy9kb3ducmV2LnhtbFBLAQIUABQAAAAIAIdO4kAzLwWe&#10;OwAAADkAAAAQAAAAAAAAAAEAIAAAAAsBAABkcnMvc2hhcGV4bWwueG1sUEsFBgAAAAAGAAYAWwEA&#10;ALUDAAAAAA==&#10;">
                  <v:fill on="f" focussize="0,0"/>
                  <v:stroke weight="1pt" color="#CCCC00" joinstyle="round"/>
                  <v:imagedata o:title=""/>
                  <o:lock v:ext="edit" aspectratio="f"/>
                </v:line>
              </v:group>
            </w:pict>
          </mc:Fallback>
        </mc:AlternateContent>
      </w: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620" w:lineRule="exact"/>
        <w:rPr>
          <w:rFonts w:hint="eastAsia" w:ascii="黑体" w:hAnsi="黑体" w:eastAsia="黑体"/>
          <w:sz w:val="32"/>
          <w:szCs w:val="32"/>
        </w:rPr>
      </w:pPr>
    </w:p>
    <w:p>
      <w:pPr>
        <w:spacing w:line="560" w:lineRule="exact"/>
        <w:ind w:firstLine="640" w:firstLineChars="200"/>
        <w:rPr>
          <w:rFonts w:ascii="黑体" w:hAnsi="黑体" w:eastAsia="黑体"/>
          <w:sz w:val="32"/>
          <w:szCs w:val="32"/>
        </w:rPr>
      </w:pPr>
    </w:p>
    <w:p>
      <w:pPr>
        <w:pStyle w:val="2"/>
        <w:rPr>
          <w:rFonts w:ascii="黑体" w:hAnsi="黑体" w:eastAsia="黑体"/>
          <w:sz w:val="32"/>
          <w:szCs w:val="32"/>
        </w:rPr>
      </w:pPr>
    </w:p>
    <w:p>
      <w:pPr>
        <w:pStyle w:val="2"/>
        <w:rPr>
          <w:rFonts w:ascii="黑体" w:hAnsi="黑体" w:eastAsia="黑体"/>
          <w:sz w:val="32"/>
          <w:szCs w:val="32"/>
        </w:rPr>
      </w:pPr>
    </w:p>
    <w:p>
      <w:pPr>
        <w:pStyle w:val="2"/>
        <w:ind w:left="0" w:leftChars="0" w:firstLine="0" w:firstLineChars="0"/>
        <w:rPr>
          <w:rFonts w:ascii="黑体" w:hAnsi="黑体" w:eastAsia="黑体"/>
          <w:sz w:val="32"/>
          <w:szCs w:val="32"/>
        </w:rPr>
      </w:pPr>
    </w:p>
    <w:p>
      <w:pPr>
        <w:spacing w:line="560" w:lineRule="exact"/>
        <w:ind w:firstLine="640" w:firstLineChars="200"/>
        <w:rPr>
          <w:rFonts w:ascii="黑体" w:hAnsi="黑体" w:eastAsia="黑体"/>
          <w:sz w:val="32"/>
          <w:szCs w:val="32"/>
        </w:rPr>
      </w:pPr>
      <w:r>
        <w:rPr>
          <w:rFonts w:ascii="黑体" w:hAnsi="黑体" w:eastAsia="黑体"/>
          <w:sz w:val="32"/>
          <w:szCs w:val="32"/>
        </w:rPr>
        <w:t>一、关于</w:t>
      </w:r>
      <w:r>
        <w:rPr>
          <w:rFonts w:hint="eastAsia" w:ascii="黑体" w:hAnsi="黑体" w:eastAsia="黑体"/>
          <w:sz w:val="32"/>
          <w:szCs w:val="32"/>
        </w:rPr>
        <w:t>天津市消防救援总队</w:t>
      </w:r>
      <w:r>
        <w:rPr>
          <w:rFonts w:hint="eastAsia" w:ascii="黑体" w:hAnsi="黑体" w:eastAsia="黑体"/>
          <w:sz w:val="32"/>
          <w:szCs w:val="32"/>
          <w:lang w:val="en-US" w:eastAsia="zh-CN"/>
        </w:rPr>
        <w:t>训练与战勤保障支队</w:t>
      </w:r>
      <w:r>
        <w:rPr>
          <w:rFonts w:ascii="黑体" w:hAnsi="黑体" w:eastAsia="黑体"/>
          <w:sz w:val="32"/>
          <w:szCs w:val="32"/>
        </w:rPr>
        <w:t>202</w:t>
      </w:r>
      <w:r>
        <w:rPr>
          <w:rFonts w:hint="eastAsia" w:ascii="黑体" w:hAnsi="黑体" w:eastAsia="黑体"/>
          <w:sz w:val="32"/>
          <w:szCs w:val="32"/>
        </w:rPr>
        <w:t>2</w:t>
      </w:r>
      <w:r>
        <w:rPr>
          <w:rFonts w:ascii="黑体" w:hAnsi="黑体" w:eastAsia="黑体"/>
          <w:sz w:val="32"/>
          <w:szCs w:val="32"/>
        </w:rPr>
        <w:t>年财政拨款收支预算情况的总体说明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天津市消防救援总队</w:t>
      </w:r>
      <w:r>
        <w:rPr>
          <w:rFonts w:hint="eastAsia" w:ascii="仿宋_GB2312" w:eastAsia="仿宋_GB2312"/>
          <w:sz w:val="32"/>
          <w:szCs w:val="32"/>
          <w:lang w:eastAsia="zh-CN"/>
        </w:rPr>
        <w:t>训练与战勤保障支队</w:t>
      </w:r>
      <w:r>
        <w:rPr>
          <w:rFonts w:hint="eastAsia" w:ascii="仿宋_GB2312" w:eastAsia="仿宋_GB2312"/>
          <w:sz w:val="32"/>
          <w:szCs w:val="32"/>
        </w:rPr>
        <w:t>2022年财政拨款收支总预算</w:t>
      </w:r>
      <w:r>
        <w:rPr>
          <w:rFonts w:hint="eastAsia" w:ascii="仿宋_GB2312" w:eastAsia="仿宋_GB2312"/>
          <w:sz w:val="32"/>
          <w:szCs w:val="32"/>
          <w:lang w:val="en-US" w:eastAsia="zh-CN"/>
        </w:rPr>
        <w:t>5843.19</w:t>
      </w:r>
      <w:r>
        <w:rPr>
          <w:rFonts w:hint="eastAsia" w:ascii="仿宋_GB2312" w:eastAsia="仿宋_GB2312"/>
          <w:sz w:val="32"/>
          <w:szCs w:val="32"/>
        </w:rPr>
        <w:t>万元。收入全部为一般公共预算拨款，包括：一般公共预算拨款本年收入</w:t>
      </w:r>
      <w:r>
        <w:rPr>
          <w:rFonts w:hint="eastAsia" w:ascii="仿宋_GB2312" w:eastAsia="仿宋_GB2312"/>
          <w:sz w:val="32"/>
          <w:szCs w:val="32"/>
          <w:lang w:val="en-US" w:eastAsia="zh-CN"/>
        </w:rPr>
        <w:t>4901.06</w:t>
      </w:r>
      <w:r>
        <w:rPr>
          <w:rFonts w:hint="eastAsia" w:ascii="仿宋_GB2312" w:eastAsia="仿宋_GB2312"/>
          <w:sz w:val="32"/>
          <w:szCs w:val="32"/>
        </w:rPr>
        <w:t>万元，上年结转</w:t>
      </w:r>
      <w:r>
        <w:rPr>
          <w:rFonts w:hint="eastAsia" w:ascii="仿宋_GB2312" w:eastAsia="仿宋_GB2312"/>
          <w:sz w:val="32"/>
          <w:szCs w:val="32"/>
          <w:lang w:val="en-US" w:eastAsia="zh-CN"/>
        </w:rPr>
        <w:t>942.13</w:t>
      </w:r>
      <w:r>
        <w:rPr>
          <w:rFonts w:hint="eastAsia" w:ascii="仿宋_GB2312" w:eastAsia="仿宋_GB2312"/>
          <w:sz w:val="32"/>
          <w:szCs w:val="32"/>
        </w:rPr>
        <w:t>万元。支出包括：住房保障支出</w:t>
      </w:r>
      <w:r>
        <w:rPr>
          <w:rFonts w:hint="eastAsia" w:ascii="仿宋_GB2312" w:eastAsia="仿宋_GB2312"/>
          <w:sz w:val="32"/>
          <w:szCs w:val="32"/>
          <w:lang w:val="en-US" w:eastAsia="zh-CN"/>
        </w:rPr>
        <w:t>318</w:t>
      </w:r>
      <w:r>
        <w:rPr>
          <w:rFonts w:hint="eastAsia" w:ascii="仿宋_GB2312" w:eastAsia="仿宋_GB2312"/>
          <w:sz w:val="32"/>
          <w:szCs w:val="32"/>
        </w:rPr>
        <w:t>万元，灾害防治及应急管理支出</w:t>
      </w:r>
      <w:r>
        <w:rPr>
          <w:rFonts w:hint="eastAsia" w:ascii="仿宋_GB2312" w:eastAsia="仿宋_GB2312"/>
          <w:sz w:val="32"/>
          <w:szCs w:val="32"/>
          <w:lang w:val="en-US" w:eastAsia="zh-CN"/>
        </w:rPr>
        <w:t>5249.49</w:t>
      </w:r>
      <w:r>
        <w:rPr>
          <w:rFonts w:hint="eastAsia" w:ascii="仿宋_GB2312" w:eastAsia="仿宋_GB2312"/>
          <w:sz w:val="32"/>
          <w:szCs w:val="32"/>
        </w:rPr>
        <w:t>万元，社会保障和就业支出</w:t>
      </w:r>
      <w:r>
        <w:rPr>
          <w:rFonts w:hint="eastAsia" w:ascii="仿宋_GB2312" w:eastAsia="仿宋_GB2312"/>
          <w:sz w:val="32"/>
          <w:szCs w:val="32"/>
          <w:lang w:val="en-US" w:eastAsia="zh-CN"/>
        </w:rPr>
        <w:t>175.7</w:t>
      </w:r>
      <w:r>
        <w:rPr>
          <w:rFonts w:hint="eastAsia" w:ascii="仿宋_GB2312" w:eastAsia="仿宋_GB2312"/>
          <w:sz w:val="32"/>
          <w:szCs w:val="32"/>
        </w:rPr>
        <w:t>万元，卫生健康支出</w:t>
      </w:r>
      <w:r>
        <w:rPr>
          <w:rFonts w:hint="eastAsia" w:ascii="仿宋_GB2312" w:eastAsia="仿宋_GB2312"/>
          <w:sz w:val="32"/>
          <w:szCs w:val="32"/>
          <w:lang w:val="en-US" w:eastAsia="zh-CN"/>
        </w:rPr>
        <w:t>100</w:t>
      </w:r>
      <w:r>
        <w:rPr>
          <w:rFonts w:hint="eastAsia" w:ascii="仿宋_GB2312" w:eastAsia="仿宋_GB2312"/>
          <w:sz w:val="32"/>
          <w:szCs w:val="32"/>
        </w:rPr>
        <w:t>万元。</w:t>
      </w:r>
    </w:p>
    <w:p>
      <w:pPr>
        <w:spacing w:line="560" w:lineRule="exact"/>
        <w:ind w:firstLine="640" w:firstLineChars="200"/>
        <w:rPr>
          <w:rFonts w:ascii="黑体" w:hAnsi="黑体" w:eastAsia="黑体"/>
          <w:sz w:val="32"/>
          <w:szCs w:val="32"/>
        </w:rPr>
      </w:pPr>
      <w:r>
        <w:rPr>
          <w:rFonts w:ascii="黑体" w:hAnsi="黑体" w:eastAsia="黑体"/>
          <w:sz w:val="32"/>
          <w:szCs w:val="32"/>
        </w:rPr>
        <w:t>二 、关于天津市消防救援总队</w:t>
      </w:r>
      <w:r>
        <w:rPr>
          <w:rFonts w:hint="eastAsia" w:ascii="黑体" w:hAnsi="黑体" w:eastAsia="黑体"/>
          <w:sz w:val="32"/>
          <w:szCs w:val="32"/>
          <w:lang w:val="en-US" w:eastAsia="zh-CN"/>
        </w:rPr>
        <w:t>训练与战勤保障支队</w:t>
      </w:r>
      <w:r>
        <w:rPr>
          <w:rFonts w:ascii="黑体" w:hAnsi="黑体" w:eastAsia="黑体"/>
          <w:sz w:val="32"/>
          <w:szCs w:val="32"/>
        </w:rPr>
        <w:t>202</w:t>
      </w:r>
      <w:r>
        <w:rPr>
          <w:rFonts w:hint="eastAsia" w:ascii="黑体" w:hAnsi="黑体" w:eastAsia="黑体"/>
          <w:sz w:val="32"/>
          <w:szCs w:val="32"/>
        </w:rPr>
        <w:t>2</w:t>
      </w:r>
      <w:r>
        <w:rPr>
          <w:rFonts w:ascii="黑体" w:hAnsi="黑体" w:eastAsia="黑体"/>
          <w:sz w:val="32"/>
          <w:szCs w:val="32"/>
        </w:rPr>
        <w:t>年一般公共预算当年拨款情况说明</w:t>
      </w:r>
    </w:p>
    <w:p>
      <w:pPr>
        <w:spacing w:before="156" w:beforeLines="50" w:after="156" w:afterLines="50" w:line="560" w:lineRule="exact"/>
        <w:ind w:firstLine="636"/>
        <w:rPr>
          <w:rFonts w:eastAsia="仿宋_GB2312"/>
          <w:sz w:val="32"/>
          <w:szCs w:val="30"/>
          <w:highlight w:val="yellow"/>
        </w:rPr>
      </w:pPr>
      <w:r>
        <w:rPr>
          <w:rFonts w:hint="eastAsia" w:ascii="楷体_GB2312" w:eastAsia="楷体_GB2312"/>
          <w:b/>
          <w:bCs/>
          <w:sz w:val="32"/>
          <w:szCs w:val="32"/>
        </w:rPr>
        <w:t>（一）一般公共预算当年拨款规模变化情况说明。</w:t>
      </w:r>
      <w:r>
        <w:rPr>
          <w:rFonts w:eastAsia="仿宋_GB2312"/>
          <w:b/>
          <w:bCs/>
          <w:kern w:val="0"/>
          <w:sz w:val="32"/>
          <w:szCs w:val="32"/>
        </w:rPr>
        <w:br w:type="textWrapping"/>
      </w:r>
      <w:r>
        <w:rPr>
          <w:rFonts w:eastAsia="仿宋_GB2312"/>
          <w:kern w:val="0"/>
          <w:sz w:val="32"/>
          <w:szCs w:val="32"/>
          <w:lang w:val="zh-CN"/>
        </w:rPr>
        <w:t xml:space="preserve">   </w:t>
      </w:r>
      <w:r>
        <w:rPr>
          <w:rFonts w:eastAsia="方正仿宋_GBK"/>
          <w:kern w:val="0"/>
          <w:sz w:val="32"/>
          <w:szCs w:val="32"/>
          <w:lang w:val="zh-CN"/>
        </w:rPr>
        <w:t xml:space="preserve"> </w:t>
      </w:r>
      <w:r>
        <w:rPr>
          <w:rFonts w:hint="eastAsia" w:ascii="仿宋_GB2312" w:eastAsia="仿宋_GB2312"/>
          <w:kern w:val="0"/>
          <w:sz w:val="32"/>
          <w:szCs w:val="32"/>
          <w:lang w:val="zh-CN"/>
        </w:rPr>
        <w:t>天津市消防救援总队</w:t>
      </w:r>
      <w:r>
        <w:rPr>
          <w:rFonts w:hint="eastAsia" w:ascii="仿宋_GB2312" w:eastAsia="仿宋_GB2312"/>
          <w:kern w:val="0"/>
          <w:sz w:val="32"/>
          <w:szCs w:val="32"/>
        </w:rPr>
        <w:t>2022</w:t>
      </w:r>
      <w:r>
        <w:rPr>
          <w:rFonts w:hint="eastAsia" w:ascii="仿宋_GB2312" w:eastAsia="仿宋_GB2312"/>
          <w:kern w:val="0"/>
          <w:sz w:val="32"/>
          <w:szCs w:val="32"/>
          <w:lang w:val="zh-CN"/>
        </w:rPr>
        <w:t>年一般公共预算当年拨款</w:t>
      </w:r>
      <w:r>
        <w:rPr>
          <w:rFonts w:hint="eastAsia" w:ascii="仿宋_GB2312" w:eastAsia="仿宋_GB2312"/>
          <w:kern w:val="0"/>
          <w:sz w:val="32"/>
          <w:szCs w:val="32"/>
          <w:lang w:val="en-US" w:eastAsia="zh-CN"/>
        </w:rPr>
        <w:t>4901.06</w:t>
      </w:r>
      <w:r>
        <w:rPr>
          <w:rFonts w:hint="eastAsia" w:ascii="仿宋_GB2312" w:eastAsia="仿宋_GB2312"/>
          <w:kern w:val="0"/>
          <w:sz w:val="32"/>
          <w:szCs w:val="32"/>
          <w:lang w:val="zh-CN"/>
        </w:rPr>
        <w:t>万元，比</w:t>
      </w:r>
      <w:r>
        <w:rPr>
          <w:rFonts w:hint="eastAsia" w:ascii="仿宋_GB2312" w:eastAsia="仿宋_GB2312"/>
          <w:sz w:val="32"/>
          <w:szCs w:val="32"/>
        </w:rPr>
        <w:t>2021年增加</w:t>
      </w:r>
      <w:r>
        <w:rPr>
          <w:rFonts w:hint="eastAsia" w:ascii="仿宋_GB2312" w:eastAsia="仿宋_GB2312"/>
          <w:sz w:val="32"/>
          <w:szCs w:val="32"/>
          <w:lang w:val="en-US" w:eastAsia="zh-CN"/>
        </w:rPr>
        <w:t>1755.06</w:t>
      </w:r>
      <w:r>
        <w:rPr>
          <w:rFonts w:hint="eastAsia" w:ascii="仿宋_GB2312" w:eastAsia="仿宋_GB2312"/>
          <w:sz w:val="32"/>
          <w:szCs w:val="32"/>
        </w:rPr>
        <w:t>万元。增加的支出主要是新增的人员经费及计划年内制定国家综合性消防救援队伍养老保障政策，安排的 2022 年养老保险及职业年金缴费预算，体现在有关支出科目中。</w:t>
      </w:r>
    </w:p>
    <w:p>
      <w:pPr>
        <w:spacing w:line="560" w:lineRule="exact"/>
        <w:ind w:firstLine="640" w:firstLineChars="200"/>
        <w:rPr>
          <w:rFonts w:hint="eastAsia" w:ascii="楷体_GB2312" w:eastAsia="楷体_GB2312"/>
          <w:b/>
          <w:bCs/>
          <w:sz w:val="32"/>
          <w:szCs w:val="32"/>
        </w:rPr>
      </w:pPr>
      <w:r>
        <w:rPr>
          <w:rFonts w:hint="eastAsia" w:ascii="楷体_GB2312" w:eastAsia="楷体_GB2312"/>
          <w:b/>
          <w:bCs/>
          <w:sz w:val="32"/>
          <w:szCs w:val="32"/>
        </w:rPr>
        <w:t>（二）一般公共预算当年拨款结构情况说明。</w:t>
      </w:r>
    </w:p>
    <w:p>
      <w:pPr>
        <w:widowControl/>
        <w:spacing w:line="560" w:lineRule="exact"/>
        <w:ind w:firstLine="640" w:firstLineChars="200"/>
        <w:jc w:val="left"/>
        <w:rPr>
          <w:rFonts w:hint="eastAsia" w:ascii="仿宋_GB2312" w:eastAsia="仿宋_GB2312"/>
          <w:sz w:val="32"/>
          <w:szCs w:val="30"/>
        </w:rPr>
      </w:pPr>
      <w:r>
        <w:rPr>
          <w:rFonts w:hint="eastAsia" w:ascii="仿宋_GB2312" w:eastAsia="仿宋_GB2312"/>
          <w:sz w:val="32"/>
          <w:szCs w:val="30"/>
        </w:rPr>
        <w:t>灾害防治及应急管理（类）支出</w:t>
      </w:r>
      <w:r>
        <w:rPr>
          <w:rFonts w:hint="eastAsia" w:ascii="仿宋_GB2312" w:eastAsia="仿宋_GB2312"/>
          <w:sz w:val="32"/>
          <w:szCs w:val="30"/>
          <w:lang w:val="en-US" w:eastAsia="zh-CN"/>
        </w:rPr>
        <w:t>5249.49</w:t>
      </w:r>
      <w:r>
        <w:rPr>
          <w:rFonts w:hint="eastAsia" w:ascii="仿宋_GB2312" w:eastAsia="仿宋_GB2312"/>
          <w:sz w:val="32"/>
          <w:szCs w:val="30"/>
        </w:rPr>
        <w:t>万元，占79.68%；住房保障支出</w:t>
      </w:r>
      <w:r>
        <w:rPr>
          <w:rFonts w:hint="eastAsia" w:ascii="仿宋_GB2312" w:eastAsia="仿宋_GB2312"/>
          <w:sz w:val="32"/>
          <w:szCs w:val="30"/>
          <w:lang w:val="en-US" w:eastAsia="zh-CN"/>
        </w:rPr>
        <w:t>318</w:t>
      </w:r>
      <w:r>
        <w:rPr>
          <w:rFonts w:hint="eastAsia" w:ascii="仿宋_GB2312" w:eastAsia="仿宋_GB2312"/>
          <w:sz w:val="32"/>
          <w:szCs w:val="30"/>
        </w:rPr>
        <w:t>万元，占6.58%；卫生健康支出</w:t>
      </w:r>
      <w:r>
        <w:rPr>
          <w:rFonts w:hint="eastAsia" w:ascii="仿宋_GB2312" w:eastAsia="仿宋_GB2312"/>
          <w:sz w:val="32"/>
          <w:szCs w:val="30"/>
          <w:lang w:val="en-US" w:eastAsia="zh-CN"/>
        </w:rPr>
        <w:t>100</w:t>
      </w:r>
      <w:r>
        <w:rPr>
          <w:rFonts w:hint="eastAsia" w:ascii="仿宋_GB2312" w:eastAsia="仿宋_GB2312"/>
          <w:sz w:val="32"/>
          <w:szCs w:val="30"/>
        </w:rPr>
        <w:t>万元，占4.02%；社会保障和就业支出</w:t>
      </w:r>
      <w:r>
        <w:rPr>
          <w:rFonts w:hint="eastAsia" w:ascii="仿宋_GB2312" w:eastAsia="仿宋_GB2312"/>
          <w:sz w:val="32"/>
          <w:szCs w:val="30"/>
          <w:lang w:val="en-US" w:eastAsia="zh-CN"/>
        </w:rPr>
        <w:t>175.7</w:t>
      </w:r>
      <w:r>
        <w:rPr>
          <w:rFonts w:hint="eastAsia" w:ascii="仿宋_GB2312" w:eastAsia="仿宋_GB2312"/>
          <w:sz w:val="32"/>
          <w:szCs w:val="30"/>
        </w:rPr>
        <w:t>万元，占9.72%。</w:t>
      </w:r>
    </w:p>
    <w:p>
      <w:pPr>
        <w:spacing w:line="560" w:lineRule="exact"/>
        <w:ind w:firstLine="640" w:firstLineChars="200"/>
        <w:rPr>
          <w:rFonts w:hint="eastAsia" w:ascii="楷体_GB2312" w:eastAsia="楷体_GB2312"/>
          <w:b/>
          <w:bCs/>
          <w:kern w:val="0"/>
          <w:sz w:val="32"/>
          <w:szCs w:val="32"/>
        </w:rPr>
      </w:pPr>
      <w:r>
        <w:rPr>
          <w:rFonts w:hint="eastAsia" w:ascii="楷体_GB2312" w:eastAsia="楷体_GB2312"/>
          <w:b/>
          <w:bCs/>
          <w:sz w:val="32"/>
          <w:szCs w:val="32"/>
        </w:rPr>
        <w:t>（三）一般公共预算按照支出功能分类情况说明。</w:t>
      </w:r>
    </w:p>
    <w:p>
      <w:pPr>
        <w:spacing w:line="560" w:lineRule="exact"/>
        <w:ind w:firstLine="640" w:firstLineChars="200"/>
        <w:rPr>
          <w:rFonts w:hint="eastAsia" w:ascii="仿宋_GB2312" w:eastAsia="仿宋_GB2312"/>
          <w:b/>
          <w:bCs/>
          <w:snapToGrid w:val="0"/>
          <w:color w:val="000000"/>
          <w:kern w:val="0"/>
          <w:sz w:val="32"/>
          <w:szCs w:val="32"/>
        </w:rPr>
      </w:pPr>
      <w:r>
        <w:rPr>
          <w:rFonts w:hint="eastAsia" w:ascii="仿宋_GB2312" w:eastAsia="仿宋_GB2312"/>
          <w:color w:val="000000"/>
          <w:kern w:val="0"/>
          <w:sz w:val="32"/>
          <w:szCs w:val="32"/>
        </w:rPr>
        <w:t>按照支出功能分类，2022年预算数比2021年执</w:t>
      </w:r>
      <w:r>
        <w:rPr>
          <w:rFonts w:hint="eastAsia" w:ascii="仿宋_GB2312" w:eastAsia="仿宋_GB2312"/>
          <w:color w:val="000000"/>
          <w:sz w:val="32"/>
          <w:szCs w:val="32"/>
        </w:rPr>
        <w:t>行数增加较为明显的项级支出科目为2080505机关事业单位基本养老保险缴费支出科目和2080506机关事业单位职业年金缴费支出，2022年预算数为</w:t>
      </w:r>
      <w:r>
        <w:rPr>
          <w:rFonts w:hint="eastAsia" w:ascii="仿宋_GB2312" w:eastAsia="仿宋_GB2312"/>
          <w:color w:val="000000"/>
          <w:sz w:val="32"/>
          <w:szCs w:val="32"/>
          <w:lang w:val="en-US" w:eastAsia="zh-CN"/>
        </w:rPr>
        <w:t>117.13</w:t>
      </w:r>
      <w:r>
        <w:rPr>
          <w:rFonts w:hint="eastAsia" w:ascii="仿宋_GB2312" w:eastAsia="仿宋_GB2312"/>
          <w:color w:val="000000"/>
          <w:sz w:val="32"/>
          <w:szCs w:val="32"/>
        </w:rPr>
        <w:t>万元和</w:t>
      </w:r>
      <w:r>
        <w:rPr>
          <w:rFonts w:hint="eastAsia" w:ascii="仿宋_GB2312" w:eastAsia="仿宋_GB2312"/>
          <w:color w:val="000000"/>
          <w:sz w:val="32"/>
          <w:szCs w:val="32"/>
          <w:lang w:val="en-US" w:eastAsia="zh-CN"/>
        </w:rPr>
        <w:t>58.57</w:t>
      </w:r>
      <w:r>
        <w:rPr>
          <w:rFonts w:hint="eastAsia" w:ascii="仿宋_GB2312" w:eastAsia="仿宋_GB2312"/>
          <w:color w:val="000000"/>
          <w:sz w:val="32"/>
          <w:szCs w:val="32"/>
        </w:rPr>
        <w:t>万元，比2021年执行数各增加100%，主要原因是计划年内实施国家综合性消防救援队伍养老保障政策，安排的2022 年基本养老保险单位缴费预算和职业年金单位缴费预算。</w:t>
      </w:r>
      <w:r>
        <w:rPr>
          <w:rFonts w:hint="eastAsia" w:ascii="仿宋_GB2312" w:eastAsia="仿宋_GB2312"/>
          <w:color w:val="000000"/>
          <w:kern w:val="0"/>
          <w:sz w:val="32"/>
          <w:szCs w:val="32"/>
        </w:rPr>
        <w:t>同时2022年预算数比2021年执</w:t>
      </w:r>
      <w:r>
        <w:rPr>
          <w:rFonts w:hint="eastAsia" w:ascii="仿宋_GB2312" w:eastAsia="仿宋_GB2312"/>
          <w:color w:val="000000"/>
          <w:sz w:val="32"/>
          <w:szCs w:val="32"/>
        </w:rPr>
        <w:t>行数增加较为明显的项级支出科目为2240201行政运行科目，2022年预算数为</w:t>
      </w:r>
      <w:r>
        <w:rPr>
          <w:rFonts w:hint="eastAsia" w:ascii="仿宋_GB2312" w:eastAsia="仿宋_GB2312"/>
          <w:color w:val="000000"/>
          <w:sz w:val="32"/>
          <w:szCs w:val="32"/>
          <w:lang w:val="en-US" w:eastAsia="zh-CN"/>
        </w:rPr>
        <w:t>3766.73</w:t>
      </w:r>
      <w:r>
        <w:rPr>
          <w:rFonts w:hint="eastAsia" w:ascii="仿宋_GB2312" w:eastAsia="仿宋_GB2312"/>
          <w:color w:val="000000"/>
          <w:sz w:val="32"/>
          <w:szCs w:val="32"/>
        </w:rPr>
        <w:t>万元，比2021年执行数增加</w:t>
      </w:r>
      <w:r>
        <w:rPr>
          <w:rFonts w:hint="eastAsia" w:ascii="仿宋_GB2312" w:eastAsia="仿宋_GB2312"/>
          <w:color w:val="000000"/>
          <w:sz w:val="32"/>
          <w:szCs w:val="32"/>
          <w:lang w:val="en-US" w:eastAsia="zh-CN"/>
        </w:rPr>
        <w:t>256.98</w:t>
      </w:r>
      <w:r>
        <w:rPr>
          <w:rFonts w:hint="eastAsia" w:ascii="仿宋_GB2312" w:eastAsia="仿宋_GB2312"/>
          <w:color w:val="000000"/>
          <w:sz w:val="32"/>
          <w:szCs w:val="32"/>
        </w:rPr>
        <w:t>万元，上升</w:t>
      </w:r>
      <w:r>
        <w:rPr>
          <w:rFonts w:hint="eastAsia" w:ascii="仿宋_GB2312" w:eastAsia="仿宋_GB2312"/>
          <w:color w:val="000000"/>
          <w:sz w:val="32"/>
          <w:szCs w:val="32"/>
          <w:lang w:val="en-US" w:eastAsia="zh-CN"/>
        </w:rPr>
        <w:t>7.32</w:t>
      </w:r>
      <w:r>
        <w:rPr>
          <w:rFonts w:hint="eastAsia" w:ascii="仿宋_GB2312" w:eastAsia="仿宋_GB2312"/>
          <w:color w:val="000000"/>
          <w:sz w:val="32"/>
          <w:szCs w:val="32"/>
        </w:rPr>
        <w:t>%，按照支出功能分类，灾害防治及应急管理方面的支出占部门支出总额的比重较高，主要是：22402消防事务科目，2022年预算数为</w:t>
      </w:r>
      <w:r>
        <w:rPr>
          <w:rFonts w:hint="eastAsia" w:ascii="仿宋_GB2312" w:eastAsia="仿宋_GB2312"/>
          <w:color w:val="000000"/>
          <w:sz w:val="32"/>
          <w:szCs w:val="32"/>
          <w:lang w:val="en-US" w:eastAsia="zh-CN"/>
        </w:rPr>
        <w:t>4307.36</w:t>
      </w:r>
      <w:r>
        <w:rPr>
          <w:rFonts w:hint="eastAsia" w:ascii="仿宋_GB2312" w:eastAsia="仿宋_GB2312"/>
          <w:color w:val="000000"/>
          <w:sz w:val="32"/>
          <w:szCs w:val="32"/>
        </w:rPr>
        <w:t>万元，占一般公共预算支出的</w:t>
      </w:r>
      <w:r>
        <w:rPr>
          <w:rFonts w:hint="eastAsia" w:ascii="仿宋_GB2312" w:eastAsia="仿宋_GB2312"/>
          <w:color w:val="000000"/>
          <w:sz w:val="32"/>
          <w:szCs w:val="32"/>
          <w:lang w:val="en-US" w:eastAsia="zh-CN"/>
        </w:rPr>
        <w:t>87.89</w:t>
      </w:r>
      <w:bookmarkStart w:id="5" w:name="_GoBack"/>
      <w:bookmarkEnd w:id="5"/>
      <w:r>
        <w:rPr>
          <w:rFonts w:hint="eastAsia" w:ascii="仿宋_GB2312" w:eastAsia="仿宋_GB2312"/>
          <w:color w:val="000000"/>
          <w:sz w:val="32"/>
          <w:szCs w:val="32"/>
        </w:rPr>
        <w:t>%，主要用于消防救援队伍人员工资、津补贴、行政运行以及消防救援人员被装护具购置项目、基层消防救援人员伙食费项目、运维等方面。</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b/>
          <w:bCs/>
          <w:snapToGrid w:val="0"/>
          <w:kern w:val="0"/>
          <w:sz w:val="32"/>
          <w:szCs w:val="32"/>
        </w:rPr>
        <w:t>住房保障支出（类）住房改革支出（款）住房公积金（项）</w:t>
      </w:r>
      <w:r>
        <w:rPr>
          <w:rFonts w:hint="eastAsia" w:ascii="仿宋_GB2312" w:eastAsia="仿宋_GB2312"/>
          <w:snapToGrid w:val="0"/>
          <w:kern w:val="0"/>
          <w:sz w:val="32"/>
          <w:szCs w:val="32"/>
        </w:rPr>
        <w:t>2022年预算数为</w:t>
      </w:r>
      <w:r>
        <w:rPr>
          <w:rFonts w:hint="eastAsia" w:ascii="仿宋_GB2312" w:eastAsia="仿宋_GB2312"/>
          <w:snapToGrid w:val="0"/>
          <w:kern w:val="0"/>
          <w:sz w:val="32"/>
          <w:szCs w:val="32"/>
          <w:lang w:val="en-US" w:eastAsia="zh-CN"/>
        </w:rPr>
        <w:t>318</w:t>
      </w:r>
      <w:r>
        <w:rPr>
          <w:rFonts w:hint="eastAsia" w:ascii="仿宋_GB2312" w:eastAsia="仿宋_GB2312"/>
          <w:snapToGrid w:val="0"/>
          <w:kern w:val="0"/>
          <w:sz w:val="32"/>
          <w:szCs w:val="32"/>
        </w:rPr>
        <w:t>万元，比2021年执行数</w:t>
      </w:r>
      <w:r>
        <w:rPr>
          <w:rFonts w:hint="eastAsia" w:ascii="仿宋_GB2312" w:eastAsia="仿宋_GB2312"/>
          <w:snapToGrid w:val="0"/>
          <w:kern w:val="0"/>
          <w:sz w:val="32"/>
          <w:szCs w:val="32"/>
          <w:lang w:val="en-US" w:eastAsia="zh-CN"/>
        </w:rPr>
        <w:t>减少349.9</w:t>
      </w:r>
      <w:r>
        <w:rPr>
          <w:rFonts w:hint="eastAsia" w:ascii="仿宋_GB2312" w:eastAsia="仿宋_GB2312"/>
          <w:snapToGrid w:val="0"/>
          <w:kern w:val="0"/>
          <w:sz w:val="32"/>
          <w:szCs w:val="32"/>
        </w:rPr>
        <w:t>万元，</w:t>
      </w:r>
      <w:r>
        <w:rPr>
          <w:rFonts w:hint="eastAsia" w:ascii="仿宋_GB2312" w:eastAsia="仿宋_GB2312"/>
          <w:snapToGrid w:val="0"/>
          <w:kern w:val="0"/>
          <w:sz w:val="32"/>
          <w:szCs w:val="32"/>
          <w:lang w:val="en-US" w:eastAsia="zh-CN"/>
        </w:rPr>
        <w:t>下降52.39</w:t>
      </w:r>
      <w:r>
        <w:rPr>
          <w:rFonts w:hint="eastAsia" w:ascii="仿宋_GB2312" w:eastAsia="仿宋_GB2312"/>
          <w:snapToGrid w:val="0"/>
          <w:kern w:val="0"/>
          <w:sz w:val="32"/>
          <w:szCs w:val="32"/>
        </w:rPr>
        <w:t>%，主要是</w:t>
      </w:r>
      <w:r>
        <w:rPr>
          <w:rFonts w:hint="eastAsia" w:ascii="仿宋_GB2312" w:eastAsia="仿宋_GB2312"/>
          <w:snapToGrid w:val="0"/>
          <w:kern w:val="0"/>
          <w:sz w:val="32"/>
          <w:szCs w:val="32"/>
          <w:lang w:val="en-US" w:eastAsia="zh-CN"/>
        </w:rPr>
        <w:t>已完成</w:t>
      </w:r>
      <w:r>
        <w:rPr>
          <w:rFonts w:hint="eastAsia" w:ascii="仿宋_GB2312" w:eastAsia="仿宋_GB2312"/>
          <w:snapToGrid w:val="0"/>
          <w:kern w:val="0"/>
          <w:sz w:val="32"/>
          <w:szCs w:val="32"/>
        </w:rPr>
        <w:t>住房公积金</w:t>
      </w:r>
      <w:r>
        <w:rPr>
          <w:rFonts w:hint="eastAsia" w:ascii="仿宋_GB2312" w:eastAsia="仿宋_GB2312"/>
          <w:snapToGrid w:val="0"/>
          <w:kern w:val="0"/>
          <w:sz w:val="32"/>
          <w:szCs w:val="32"/>
          <w:lang w:val="en-US" w:eastAsia="zh-CN"/>
        </w:rPr>
        <w:t>历年</w:t>
      </w:r>
      <w:r>
        <w:rPr>
          <w:rFonts w:hint="eastAsia" w:ascii="仿宋_GB2312" w:eastAsia="仿宋_GB2312"/>
          <w:snapToGrid w:val="0"/>
          <w:kern w:val="0"/>
          <w:sz w:val="32"/>
          <w:szCs w:val="32"/>
        </w:rPr>
        <w:t>缴存</w:t>
      </w:r>
      <w:r>
        <w:rPr>
          <w:rFonts w:hint="eastAsia" w:ascii="仿宋_GB2312" w:eastAsia="仿宋_GB2312"/>
          <w:snapToGrid w:val="0"/>
          <w:kern w:val="0"/>
          <w:sz w:val="32"/>
          <w:szCs w:val="32"/>
          <w:lang w:val="en-US" w:eastAsia="zh-CN"/>
        </w:rPr>
        <w:t>工作</w:t>
      </w:r>
      <w:r>
        <w:rPr>
          <w:rFonts w:hint="eastAsia" w:ascii="仿宋_GB2312" w:eastAsia="仿宋_GB2312"/>
          <w:sz w:val="32"/>
          <w:szCs w:val="32"/>
        </w:rPr>
        <w:t>。</w:t>
      </w:r>
    </w:p>
    <w:p>
      <w:pPr>
        <w:spacing w:line="560" w:lineRule="exact"/>
        <w:ind w:firstLine="640" w:firstLineChars="200"/>
        <w:rPr>
          <w:rFonts w:hint="eastAsia" w:ascii="仿宋_GB2312" w:eastAsia="仿宋_GB2312"/>
          <w:snapToGrid w:val="0"/>
          <w:kern w:val="0"/>
          <w:sz w:val="32"/>
          <w:szCs w:val="32"/>
        </w:rPr>
      </w:pPr>
      <w:r>
        <w:rPr>
          <w:rFonts w:hint="eastAsia" w:ascii="仿宋_GB2312" w:eastAsia="仿宋_GB2312"/>
          <w:b/>
          <w:bCs/>
          <w:snapToGrid w:val="0"/>
          <w:kern w:val="0"/>
          <w:sz w:val="32"/>
          <w:szCs w:val="32"/>
        </w:rPr>
        <w:t>2、灾害防治及应急管理支出（类）消防事务（款）行政运行（项）</w:t>
      </w:r>
      <w:r>
        <w:rPr>
          <w:rFonts w:hint="eastAsia" w:ascii="仿宋_GB2312" w:eastAsia="仿宋_GB2312"/>
          <w:snapToGrid w:val="0"/>
          <w:kern w:val="0"/>
          <w:sz w:val="32"/>
          <w:szCs w:val="32"/>
        </w:rPr>
        <w:t>2022年预算数为</w:t>
      </w:r>
      <w:r>
        <w:rPr>
          <w:rFonts w:hint="eastAsia" w:ascii="仿宋_GB2312" w:eastAsia="仿宋_GB2312"/>
          <w:snapToGrid w:val="0"/>
          <w:kern w:val="0"/>
          <w:sz w:val="32"/>
          <w:szCs w:val="32"/>
          <w:lang w:val="en-US" w:eastAsia="zh-CN"/>
        </w:rPr>
        <w:t>3766.73</w:t>
      </w:r>
      <w:r>
        <w:rPr>
          <w:rFonts w:hint="eastAsia" w:ascii="仿宋_GB2312" w:eastAsia="仿宋_GB2312"/>
          <w:snapToGrid w:val="0"/>
          <w:kern w:val="0"/>
          <w:sz w:val="32"/>
          <w:szCs w:val="32"/>
        </w:rPr>
        <w:t>万元，比2021年执行数</w:t>
      </w:r>
      <w:r>
        <w:rPr>
          <w:rFonts w:hint="eastAsia" w:ascii="仿宋_GB2312" w:eastAsia="仿宋_GB2312"/>
          <w:snapToGrid w:val="0"/>
          <w:kern w:val="0"/>
          <w:sz w:val="32"/>
          <w:szCs w:val="32"/>
          <w:lang w:val="en-US" w:eastAsia="zh-CN"/>
        </w:rPr>
        <w:t>增加</w:t>
      </w:r>
      <w:r>
        <w:rPr>
          <w:rFonts w:hint="eastAsia" w:ascii="仿宋_GB2312" w:eastAsia="仿宋_GB2312"/>
          <w:snapToGrid w:val="0"/>
          <w:kern w:val="0"/>
          <w:sz w:val="32"/>
          <w:szCs w:val="32"/>
        </w:rPr>
        <w:t xml:space="preserve">  </w:t>
      </w:r>
      <w:r>
        <w:rPr>
          <w:rFonts w:hint="eastAsia" w:ascii="仿宋_GB2312" w:eastAsia="仿宋_GB2312"/>
          <w:snapToGrid w:val="0"/>
          <w:kern w:val="0"/>
          <w:sz w:val="32"/>
          <w:szCs w:val="32"/>
          <w:lang w:val="en-US" w:eastAsia="zh-CN"/>
        </w:rPr>
        <w:t>256.98</w:t>
      </w:r>
      <w:r>
        <w:rPr>
          <w:rFonts w:hint="eastAsia" w:ascii="仿宋_GB2312" w:eastAsia="仿宋_GB2312"/>
          <w:snapToGrid w:val="0"/>
          <w:kern w:val="0"/>
          <w:sz w:val="32"/>
          <w:szCs w:val="32"/>
        </w:rPr>
        <w:t>万元，提高</w:t>
      </w:r>
      <w:r>
        <w:rPr>
          <w:rFonts w:hint="eastAsia" w:ascii="仿宋_GB2312" w:eastAsia="仿宋_GB2312"/>
          <w:snapToGrid w:val="0"/>
          <w:kern w:val="0"/>
          <w:sz w:val="32"/>
          <w:szCs w:val="32"/>
          <w:lang w:val="en-US" w:eastAsia="zh-CN"/>
        </w:rPr>
        <w:t>7.32</w:t>
      </w:r>
      <w:r>
        <w:rPr>
          <w:rFonts w:hint="eastAsia" w:ascii="仿宋_GB2312" w:eastAsia="仿宋_GB2312"/>
          <w:snapToGrid w:val="0"/>
          <w:kern w:val="0"/>
          <w:sz w:val="32"/>
          <w:szCs w:val="32"/>
        </w:rPr>
        <w:t>%，主要是</w:t>
      </w:r>
      <w:r>
        <w:rPr>
          <w:rFonts w:hint="eastAsia" w:ascii="仿宋_GB2312" w:eastAsia="仿宋_GB2312"/>
          <w:sz w:val="32"/>
          <w:szCs w:val="32"/>
        </w:rPr>
        <w:t>由于总队</w:t>
      </w:r>
      <w:r>
        <w:rPr>
          <w:rFonts w:hint="eastAsia" w:ascii="仿宋_GB2312" w:eastAsia="仿宋_GB2312"/>
          <w:sz w:val="32"/>
          <w:szCs w:val="32"/>
          <w:lang w:eastAsia="zh-CN"/>
        </w:rPr>
        <w:t>训练与战勤保障支队</w:t>
      </w:r>
      <w:r>
        <w:rPr>
          <w:rFonts w:hint="eastAsia" w:ascii="仿宋_GB2312" w:eastAsia="仿宋_GB2312"/>
          <w:sz w:val="32"/>
          <w:szCs w:val="32"/>
        </w:rPr>
        <w:t>新增人员导致人员经费增长。</w:t>
      </w:r>
    </w:p>
    <w:p>
      <w:pPr>
        <w:spacing w:line="560" w:lineRule="exact"/>
        <w:ind w:firstLine="640" w:firstLineChars="200"/>
        <w:rPr>
          <w:rFonts w:hint="eastAsia" w:ascii="仿宋_GB2312" w:eastAsia="仿宋_GB2312"/>
          <w:sz w:val="32"/>
          <w:szCs w:val="32"/>
        </w:rPr>
      </w:pPr>
      <w:r>
        <w:rPr>
          <w:rFonts w:hint="eastAsia" w:ascii="仿宋_GB2312" w:eastAsia="仿宋_GB2312"/>
          <w:b/>
          <w:bCs/>
          <w:snapToGrid w:val="0"/>
          <w:kern w:val="0"/>
          <w:sz w:val="32"/>
          <w:szCs w:val="32"/>
        </w:rPr>
        <w:t>3、灾害防治及应急管理支出（类）消防事务（款）消防应急救援（项）</w:t>
      </w:r>
      <w:r>
        <w:rPr>
          <w:rFonts w:hint="eastAsia" w:ascii="仿宋_GB2312" w:eastAsia="仿宋_GB2312"/>
          <w:snapToGrid w:val="0"/>
          <w:kern w:val="0"/>
          <w:sz w:val="32"/>
          <w:szCs w:val="32"/>
        </w:rPr>
        <w:t>2022年预算数为</w:t>
      </w:r>
      <w:r>
        <w:rPr>
          <w:rFonts w:hint="eastAsia" w:ascii="仿宋_GB2312" w:eastAsia="仿宋_GB2312"/>
          <w:snapToGrid w:val="0"/>
          <w:kern w:val="0"/>
          <w:sz w:val="32"/>
          <w:szCs w:val="32"/>
          <w:lang w:val="en-US" w:eastAsia="zh-CN"/>
        </w:rPr>
        <w:t>540.63</w:t>
      </w:r>
      <w:r>
        <w:rPr>
          <w:rFonts w:hint="eastAsia" w:ascii="仿宋_GB2312" w:eastAsia="仿宋_GB2312"/>
          <w:snapToGrid w:val="0"/>
          <w:kern w:val="0"/>
          <w:sz w:val="32"/>
          <w:szCs w:val="32"/>
        </w:rPr>
        <w:t>万元，比2021年执行数减少</w:t>
      </w:r>
      <w:r>
        <w:rPr>
          <w:rFonts w:hint="eastAsia" w:ascii="仿宋_GB2312" w:eastAsia="仿宋_GB2312"/>
          <w:snapToGrid w:val="0"/>
          <w:kern w:val="0"/>
          <w:sz w:val="32"/>
          <w:szCs w:val="32"/>
          <w:lang w:val="en-US" w:eastAsia="zh-CN"/>
        </w:rPr>
        <w:t>46.43</w:t>
      </w:r>
      <w:r>
        <w:rPr>
          <w:rFonts w:hint="eastAsia" w:ascii="仿宋_GB2312" w:eastAsia="仿宋_GB2312"/>
          <w:snapToGrid w:val="0"/>
          <w:kern w:val="0"/>
          <w:sz w:val="32"/>
          <w:szCs w:val="32"/>
        </w:rPr>
        <w:t>万元，下降</w:t>
      </w:r>
      <w:r>
        <w:rPr>
          <w:rFonts w:hint="eastAsia" w:ascii="仿宋_GB2312" w:eastAsia="仿宋_GB2312"/>
          <w:snapToGrid w:val="0"/>
          <w:kern w:val="0"/>
          <w:sz w:val="32"/>
          <w:szCs w:val="32"/>
          <w:lang w:val="en-US" w:eastAsia="zh-CN"/>
        </w:rPr>
        <w:t>7</w:t>
      </w:r>
      <w:r>
        <w:rPr>
          <w:rFonts w:hint="eastAsia" w:ascii="仿宋_GB2312" w:eastAsia="仿宋_GB2312"/>
          <w:snapToGrid w:val="0"/>
          <w:kern w:val="0"/>
          <w:sz w:val="32"/>
          <w:szCs w:val="32"/>
        </w:rPr>
        <w:t>.91%，主要是落实过紧日子要求，</w:t>
      </w:r>
      <w:r>
        <w:rPr>
          <w:rFonts w:hint="eastAsia" w:ascii="仿宋_GB2312" w:eastAsia="仿宋_GB2312"/>
          <w:sz w:val="32"/>
          <w:szCs w:val="32"/>
        </w:rPr>
        <w:t>压减了资产运行维护经费安排。</w:t>
      </w:r>
    </w:p>
    <w:p>
      <w:pPr>
        <w:spacing w:line="560" w:lineRule="exact"/>
        <w:ind w:firstLine="640" w:firstLineChars="200"/>
        <w:rPr>
          <w:rFonts w:hint="eastAsia" w:ascii="仿宋_GB2312" w:eastAsia="仿宋_GB2312"/>
          <w:bCs/>
          <w:snapToGrid w:val="0"/>
          <w:kern w:val="0"/>
          <w:sz w:val="32"/>
          <w:szCs w:val="32"/>
        </w:rPr>
      </w:pPr>
      <w:r>
        <w:rPr>
          <w:rFonts w:hint="eastAsia" w:ascii="仿宋_GB2312" w:eastAsia="仿宋_GB2312"/>
          <w:b/>
          <w:bCs/>
          <w:snapToGrid w:val="0"/>
          <w:kern w:val="0"/>
          <w:sz w:val="32"/>
          <w:szCs w:val="32"/>
        </w:rPr>
        <w:t>4、卫生健康支出（类）行政事业单位医疗（款）其他行政事业单位医疗支出（项）</w:t>
      </w:r>
      <w:r>
        <w:rPr>
          <w:rFonts w:hint="eastAsia" w:ascii="仿宋_GB2312" w:eastAsia="仿宋_GB2312"/>
          <w:bCs/>
          <w:snapToGrid w:val="0"/>
          <w:kern w:val="0"/>
          <w:sz w:val="32"/>
          <w:szCs w:val="32"/>
        </w:rPr>
        <w:t>2022年预算数为</w:t>
      </w:r>
      <w:r>
        <w:rPr>
          <w:rFonts w:hint="eastAsia" w:ascii="仿宋_GB2312" w:eastAsia="仿宋_GB2312"/>
          <w:bCs/>
          <w:snapToGrid w:val="0"/>
          <w:kern w:val="0"/>
          <w:sz w:val="32"/>
          <w:szCs w:val="32"/>
          <w:lang w:val="en-US" w:eastAsia="zh-CN"/>
        </w:rPr>
        <w:t>100</w:t>
      </w:r>
      <w:r>
        <w:rPr>
          <w:rFonts w:hint="eastAsia" w:ascii="仿宋_GB2312" w:eastAsia="仿宋_GB2312"/>
          <w:bCs/>
          <w:snapToGrid w:val="0"/>
          <w:kern w:val="0"/>
          <w:sz w:val="32"/>
          <w:szCs w:val="32"/>
        </w:rPr>
        <w:t>万元，比2021年执行数增加</w:t>
      </w:r>
      <w:r>
        <w:rPr>
          <w:rFonts w:hint="eastAsia" w:ascii="仿宋_GB2312" w:eastAsia="仿宋_GB2312"/>
          <w:bCs/>
          <w:snapToGrid w:val="0"/>
          <w:kern w:val="0"/>
          <w:sz w:val="32"/>
          <w:szCs w:val="32"/>
          <w:lang w:val="en-US" w:eastAsia="zh-CN"/>
        </w:rPr>
        <w:t>100</w:t>
      </w:r>
      <w:r>
        <w:rPr>
          <w:rFonts w:hint="eastAsia" w:ascii="仿宋_GB2312" w:eastAsia="仿宋_GB2312"/>
          <w:bCs/>
          <w:snapToGrid w:val="0"/>
          <w:kern w:val="0"/>
          <w:sz w:val="32"/>
          <w:szCs w:val="32"/>
        </w:rPr>
        <w:t>万元，主要是根据国家综合性消防救援队伍医疗保障政策，将原来在 2240201行政运行科目安排的医疗费支出调整到本科目预算。</w:t>
      </w:r>
    </w:p>
    <w:p>
      <w:pPr>
        <w:spacing w:line="560" w:lineRule="exact"/>
        <w:ind w:firstLine="640" w:firstLineChars="200"/>
        <w:rPr>
          <w:rFonts w:hint="eastAsia" w:ascii="仿宋_GB2312" w:eastAsia="仿宋_GB2312"/>
          <w:bCs/>
          <w:snapToGrid w:val="0"/>
          <w:kern w:val="0"/>
          <w:sz w:val="32"/>
          <w:szCs w:val="32"/>
        </w:rPr>
      </w:pPr>
      <w:r>
        <w:rPr>
          <w:rFonts w:hint="eastAsia" w:ascii="仿宋_GB2312" w:eastAsia="仿宋_GB2312"/>
          <w:b/>
          <w:bCs/>
          <w:snapToGrid w:val="0"/>
          <w:kern w:val="0"/>
          <w:sz w:val="32"/>
          <w:szCs w:val="32"/>
        </w:rPr>
        <w:t>5、社会保障和就业支出（类）行政事业单位养老支出（款）机关事业单位基本养老保险缴费支出（项）</w:t>
      </w:r>
      <w:r>
        <w:rPr>
          <w:rFonts w:hint="eastAsia" w:ascii="仿宋_GB2312" w:eastAsia="仿宋_GB2312"/>
          <w:bCs/>
          <w:snapToGrid w:val="0"/>
          <w:kern w:val="0"/>
          <w:sz w:val="32"/>
          <w:szCs w:val="32"/>
        </w:rPr>
        <w:t>2022 年预算数为</w:t>
      </w:r>
      <w:r>
        <w:rPr>
          <w:rFonts w:hint="eastAsia" w:ascii="仿宋_GB2312" w:eastAsia="仿宋_GB2312"/>
          <w:bCs/>
          <w:snapToGrid w:val="0"/>
          <w:kern w:val="0"/>
          <w:sz w:val="32"/>
          <w:szCs w:val="32"/>
          <w:lang w:val="en-US" w:eastAsia="zh-CN"/>
        </w:rPr>
        <w:t>117.13</w:t>
      </w:r>
      <w:r>
        <w:rPr>
          <w:rFonts w:hint="eastAsia" w:ascii="仿宋_GB2312" w:eastAsia="仿宋_GB2312"/>
          <w:bCs/>
          <w:snapToGrid w:val="0"/>
          <w:kern w:val="0"/>
          <w:sz w:val="32"/>
          <w:szCs w:val="32"/>
        </w:rPr>
        <w:t>万元，比2021年执行数增加</w:t>
      </w:r>
      <w:r>
        <w:rPr>
          <w:rFonts w:hint="eastAsia" w:ascii="仿宋_GB2312" w:eastAsia="仿宋_GB2312"/>
          <w:bCs/>
          <w:snapToGrid w:val="0"/>
          <w:kern w:val="0"/>
          <w:sz w:val="32"/>
          <w:szCs w:val="32"/>
          <w:lang w:val="en-US" w:eastAsia="zh-CN"/>
        </w:rPr>
        <w:t>117.13</w:t>
      </w:r>
      <w:r>
        <w:rPr>
          <w:rFonts w:hint="eastAsia" w:ascii="仿宋_GB2312" w:eastAsia="仿宋_GB2312"/>
          <w:bCs/>
          <w:snapToGrid w:val="0"/>
          <w:kern w:val="0"/>
          <w:sz w:val="32"/>
          <w:szCs w:val="32"/>
        </w:rPr>
        <w:t>万元，主要是计划年内制定国家综合性消防救援队伍养老保障政策，安排的2022年基本养老保险单位缴费预算。</w:t>
      </w:r>
    </w:p>
    <w:p>
      <w:pPr>
        <w:spacing w:line="560" w:lineRule="exact"/>
        <w:ind w:firstLine="640" w:firstLineChars="200"/>
        <w:rPr>
          <w:rFonts w:hint="eastAsia" w:ascii="仿宋_GB2312" w:eastAsia="仿宋_GB2312"/>
          <w:bCs/>
          <w:snapToGrid w:val="0"/>
          <w:kern w:val="0"/>
          <w:sz w:val="32"/>
          <w:szCs w:val="32"/>
        </w:rPr>
      </w:pPr>
      <w:r>
        <w:rPr>
          <w:rFonts w:hint="eastAsia" w:ascii="仿宋_GB2312" w:eastAsia="仿宋_GB2312"/>
          <w:b/>
          <w:bCs/>
          <w:snapToGrid w:val="0"/>
          <w:kern w:val="0"/>
          <w:sz w:val="32"/>
          <w:szCs w:val="32"/>
        </w:rPr>
        <w:t>6、社会保障和就业支出（类）行政事业单位养老支出（款）机关事业单位职业年金缴费支出（项）</w:t>
      </w:r>
      <w:r>
        <w:rPr>
          <w:rFonts w:hint="eastAsia" w:ascii="仿宋_GB2312" w:eastAsia="仿宋_GB2312"/>
          <w:bCs/>
          <w:snapToGrid w:val="0"/>
          <w:kern w:val="0"/>
          <w:sz w:val="32"/>
          <w:szCs w:val="32"/>
        </w:rPr>
        <w:t>2022年预算数为</w:t>
      </w:r>
      <w:r>
        <w:rPr>
          <w:rFonts w:hint="eastAsia" w:ascii="仿宋_GB2312" w:eastAsia="仿宋_GB2312"/>
          <w:bCs/>
          <w:snapToGrid w:val="0"/>
          <w:kern w:val="0"/>
          <w:sz w:val="32"/>
          <w:szCs w:val="32"/>
          <w:lang w:val="en-US" w:eastAsia="zh-CN"/>
        </w:rPr>
        <w:t>58.57</w:t>
      </w:r>
      <w:r>
        <w:rPr>
          <w:rFonts w:hint="eastAsia" w:ascii="仿宋_GB2312" w:eastAsia="仿宋_GB2312"/>
          <w:bCs/>
          <w:snapToGrid w:val="0"/>
          <w:kern w:val="0"/>
          <w:sz w:val="32"/>
          <w:szCs w:val="32"/>
        </w:rPr>
        <w:t>万元，比2021年执行数增加</w:t>
      </w:r>
      <w:r>
        <w:rPr>
          <w:rFonts w:hint="eastAsia" w:ascii="仿宋_GB2312" w:eastAsia="仿宋_GB2312"/>
          <w:bCs/>
          <w:snapToGrid w:val="0"/>
          <w:kern w:val="0"/>
          <w:sz w:val="32"/>
          <w:szCs w:val="32"/>
          <w:lang w:val="en-US" w:eastAsia="zh-CN"/>
        </w:rPr>
        <w:t>58.57</w:t>
      </w:r>
      <w:r>
        <w:rPr>
          <w:rFonts w:hint="eastAsia" w:ascii="仿宋_GB2312" w:eastAsia="仿宋_GB2312"/>
          <w:bCs/>
          <w:snapToGrid w:val="0"/>
          <w:kern w:val="0"/>
          <w:sz w:val="32"/>
          <w:szCs w:val="32"/>
        </w:rPr>
        <w:t>万元，主要是计划年内制定国家综合性消防救援队伍养老保障政策，安排的 2022 年职业年金单位缴费预算。</w:t>
      </w:r>
    </w:p>
    <w:p>
      <w:pPr>
        <w:spacing w:line="560" w:lineRule="exact"/>
        <w:ind w:firstLine="640" w:firstLineChars="200"/>
        <w:rPr>
          <w:rFonts w:ascii="黑体" w:hAnsi="黑体" w:eastAsia="黑体"/>
          <w:sz w:val="32"/>
          <w:szCs w:val="32"/>
        </w:rPr>
      </w:pPr>
      <w:r>
        <w:rPr>
          <w:rFonts w:ascii="黑体" w:hAnsi="黑体" w:eastAsia="黑体"/>
          <w:sz w:val="32"/>
          <w:szCs w:val="32"/>
        </w:rPr>
        <w:t>三、关于天津市消防救援总队</w:t>
      </w:r>
      <w:r>
        <w:rPr>
          <w:rFonts w:hint="eastAsia" w:ascii="黑体" w:hAnsi="黑体" w:eastAsia="黑体"/>
          <w:sz w:val="32"/>
          <w:szCs w:val="32"/>
          <w:lang w:eastAsia="zh-CN"/>
        </w:rPr>
        <w:t>训练与战勤保障支队</w:t>
      </w:r>
      <w:r>
        <w:rPr>
          <w:rFonts w:ascii="黑体" w:hAnsi="黑体" w:eastAsia="黑体"/>
          <w:sz w:val="32"/>
          <w:szCs w:val="32"/>
        </w:rPr>
        <w:t>202</w:t>
      </w:r>
      <w:r>
        <w:rPr>
          <w:rFonts w:hint="eastAsia" w:ascii="黑体" w:hAnsi="黑体" w:eastAsia="黑体"/>
          <w:sz w:val="32"/>
          <w:szCs w:val="32"/>
        </w:rPr>
        <w:t>2</w:t>
      </w:r>
      <w:r>
        <w:rPr>
          <w:rFonts w:ascii="黑体" w:hAnsi="黑体" w:eastAsia="黑体"/>
          <w:sz w:val="32"/>
          <w:szCs w:val="32"/>
        </w:rPr>
        <w:t>年一般公共预算基本支出情况说明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天津市消防救援总队</w:t>
      </w:r>
      <w:r>
        <w:rPr>
          <w:rFonts w:hint="eastAsia" w:ascii="仿宋_GB2312" w:eastAsia="仿宋_GB2312"/>
          <w:sz w:val="32"/>
          <w:szCs w:val="32"/>
          <w:lang w:eastAsia="zh-CN"/>
        </w:rPr>
        <w:t>训练与战勤保障支队</w:t>
      </w:r>
      <w:r>
        <w:rPr>
          <w:rFonts w:hint="eastAsia" w:ascii="仿宋_GB2312" w:eastAsia="仿宋_GB2312"/>
          <w:sz w:val="32"/>
          <w:szCs w:val="32"/>
        </w:rPr>
        <w:t>2022年一般公共预算基本支出</w:t>
      </w:r>
      <w:r>
        <w:rPr>
          <w:rFonts w:hint="eastAsia" w:ascii="仿宋_GB2312" w:eastAsia="仿宋_GB2312"/>
          <w:sz w:val="32"/>
          <w:szCs w:val="32"/>
          <w:lang w:val="en-US" w:eastAsia="zh-CN"/>
        </w:rPr>
        <w:t>4360.43</w:t>
      </w:r>
      <w:r>
        <w:rPr>
          <w:rFonts w:hint="eastAsia" w:ascii="仿宋_GB2312" w:eastAsia="仿宋_GB2312"/>
          <w:sz w:val="32"/>
          <w:szCs w:val="32"/>
        </w:rPr>
        <w:t>万元，其中：</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人员经费</w:t>
      </w:r>
      <w:r>
        <w:rPr>
          <w:rFonts w:hint="eastAsia" w:ascii="仿宋_GB2312" w:eastAsia="仿宋_GB2312"/>
          <w:sz w:val="32"/>
          <w:szCs w:val="32"/>
          <w:lang w:val="en-US" w:eastAsia="zh-CN"/>
        </w:rPr>
        <w:t>3458.7</w:t>
      </w:r>
      <w:r>
        <w:rPr>
          <w:rFonts w:hint="eastAsia" w:ascii="仿宋_GB2312" w:eastAsia="仿宋_GB2312"/>
          <w:sz w:val="32"/>
          <w:szCs w:val="32"/>
        </w:rPr>
        <w:t>万元，主要包括：基本工资、津贴补贴、奖金、伙食补助费、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其他对个人和家庭的补助。</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日常公用经费</w:t>
      </w:r>
      <w:r>
        <w:rPr>
          <w:rFonts w:hint="eastAsia" w:ascii="仿宋_GB2312" w:eastAsia="仿宋_GB2312"/>
          <w:sz w:val="32"/>
          <w:szCs w:val="32"/>
          <w:lang w:val="en-US" w:eastAsia="zh-CN"/>
        </w:rPr>
        <w:t>901.73</w:t>
      </w:r>
      <w:r>
        <w:rPr>
          <w:rFonts w:hint="eastAsia" w:ascii="仿宋_GB2312" w:eastAsia="仿宋_GB2312"/>
          <w:sz w:val="32"/>
          <w:szCs w:val="32"/>
        </w:rPr>
        <w:t>万元，主要包括：办公费、印刷费、咨询费、手续费、水费、电费、邮电费、取暖费、物业管理费、差旅费、维修（护）费、租赁费、会议费、培训费、专用材料费、被装购置费、专用燃料费、劳务费、委托业务费、工会经费、福利费、其他交通费用、税金及附加费用、其他商品和服务支出、房屋建筑物购建、办公设备购置、专用设备购置、基础设施建设、信息网络及软件购置更新、物资储备、其他交通工具购置、无形资产购置、其他资本性支出。</w:t>
      </w:r>
    </w:p>
    <w:p>
      <w:pPr>
        <w:spacing w:line="560" w:lineRule="exact"/>
        <w:ind w:firstLine="640" w:firstLineChars="200"/>
        <w:rPr>
          <w:rFonts w:ascii="黑体" w:hAnsi="黑体" w:eastAsia="黑体"/>
          <w:sz w:val="32"/>
          <w:szCs w:val="32"/>
        </w:rPr>
      </w:pPr>
      <w:r>
        <w:rPr>
          <w:rFonts w:ascii="黑体" w:hAnsi="黑体" w:eastAsia="黑体"/>
          <w:sz w:val="32"/>
          <w:szCs w:val="32"/>
        </w:rPr>
        <w:t>四、关于天津市消防救援总队</w:t>
      </w:r>
      <w:r>
        <w:rPr>
          <w:rFonts w:hint="eastAsia" w:ascii="黑体" w:hAnsi="黑体" w:eastAsia="黑体"/>
          <w:sz w:val="32"/>
          <w:szCs w:val="32"/>
          <w:lang w:eastAsia="zh-CN"/>
        </w:rPr>
        <w:t>训练与战勤保障支队</w:t>
      </w:r>
      <w:r>
        <w:rPr>
          <w:rFonts w:ascii="黑体" w:hAnsi="黑体" w:eastAsia="黑体"/>
          <w:sz w:val="32"/>
          <w:szCs w:val="32"/>
        </w:rPr>
        <w:t>202</w:t>
      </w:r>
      <w:r>
        <w:rPr>
          <w:rFonts w:hint="eastAsia" w:ascii="黑体" w:hAnsi="黑体" w:eastAsia="黑体"/>
          <w:sz w:val="32"/>
          <w:szCs w:val="32"/>
        </w:rPr>
        <w:t>2</w:t>
      </w:r>
      <w:r>
        <w:rPr>
          <w:rFonts w:ascii="黑体" w:hAnsi="黑体" w:eastAsia="黑体"/>
          <w:sz w:val="32"/>
          <w:szCs w:val="32"/>
        </w:rPr>
        <w:t>年“三公”经费预算情况说明</w:t>
      </w:r>
    </w:p>
    <w:p>
      <w:pPr>
        <w:spacing w:line="560" w:lineRule="exact"/>
        <w:ind w:firstLine="640" w:firstLineChars="200"/>
        <w:rPr>
          <w:rFonts w:hint="eastAsia" w:ascii="仿宋_GB2312" w:eastAsia="仿宋_GB2312"/>
          <w:b/>
          <w:color w:val="FF0000"/>
          <w:sz w:val="32"/>
          <w:szCs w:val="32"/>
        </w:rPr>
      </w:pPr>
      <w:r>
        <w:rPr>
          <w:rFonts w:hint="eastAsia" w:ascii="仿宋_GB2312" w:eastAsia="仿宋_GB2312"/>
          <w:sz w:val="32"/>
          <w:szCs w:val="32"/>
        </w:rPr>
        <w:t>2022年天津市消防救援总队</w:t>
      </w:r>
      <w:r>
        <w:rPr>
          <w:rFonts w:hint="eastAsia" w:ascii="仿宋_GB2312" w:eastAsia="仿宋_GB2312"/>
          <w:sz w:val="32"/>
          <w:szCs w:val="32"/>
          <w:lang w:eastAsia="zh-CN"/>
        </w:rPr>
        <w:t>训练与战勤保障支队</w:t>
      </w:r>
      <w:r>
        <w:rPr>
          <w:rFonts w:hint="eastAsia" w:ascii="仿宋_GB2312" w:eastAsia="仿宋_GB2312"/>
          <w:sz w:val="32"/>
          <w:szCs w:val="32"/>
        </w:rPr>
        <w:t>尚未实行公务用车改革，“三公”经费财政拨款预算为</w:t>
      </w:r>
      <w:r>
        <w:rPr>
          <w:rFonts w:hint="eastAsia" w:ascii="仿宋_GB2312" w:eastAsia="仿宋_GB2312"/>
          <w:sz w:val="32"/>
          <w:szCs w:val="32"/>
          <w:lang w:val="en-US" w:eastAsia="zh-CN"/>
        </w:rPr>
        <w:t>20.7</w:t>
      </w:r>
      <w:r>
        <w:rPr>
          <w:rFonts w:hint="eastAsia" w:ascii="仿宋_GB2312" w:eastAsia="仿宋_GB2312"/>
          <w:sz w:val="32"/>
          <w:szCs w:val="32"/>
        </w:rPr>
        <w:t>万元，其中：因公出国（境）费预算0万元，公务用车购置及运行费预算</w:t>
      </w:r>
      <w:r>
        <w:rPr>
          <w:rFonts w:hint="eastAsia" w:ascii="仿宋_GB2312" w:eastAsia="仿宋_GB2312"/>
          <w:sz w:val="32"/>
          <w:szCs w:val="32"/>
          <w:lang w:val="en-US" w:eastAsia="zh-CN"/>
        </w:rPr>
        <w:t>20.7</w:t>
      </w:r>
      <w:r>
        <w:rPr>
          <w:rFonts w:hint="eastAsia" w:ascii="仿宋_GB2312" w:eastAsia="仿宋_GB2312"/>
          <w:sz w:val="32"/>
          <w:szCs w:val="32"/>
        </w:rPr>
        <w:t>万元，公务接待费预算</w:t>
      </w:r>
      <w:r>
        <w:rPr>
          <w:rFonts w:hint="eastAsia" w:ascii="仿宋_GB2312" w:eastAsia="仿宋_GB2312"/>
          <w:sz w:val="32"/>
          <w:szCs w:val="32"/>
          <w:lang w:val="en-US" w:eastAsia="zh-CN"/>
        </w:rPr>
        <w:t>0</w:t>
      </w:r>
      <w:r>
        <w:rPr>
          <w:rFonts w:hint="eastAsia" w:ascii="仿宋_GB2312" w:eastAsia="仿宋_GB2312"/>
          <w:sz w:val="32"/>
          <w:szCs w:val="32"/>
        </w:rPr>
        <w:t>万元。2022年“三公” 经费预算与同比2021年</w:t>
      </w:r>
      <w:r>
        <w:rPr>
          <w:rFonts w:hint="eastAsia" w:ascii="仿宋_GB2312" w:eastAsia="仿宋_GB2312"/>
          <w:sz w:val="32"/>
          <w:szCs w:val="32"/>
          <w:lang w:val="en-US" w:eastAsia="zh-CN"/>
        </w:rPr>
        <w:t>持平</w:t>
      </w:r>
      <w:r>
        <w:rPr>
          <w:rFonts w:hint="eastAsia" w:ascii="仿宋_GB2312" w:eastAsia="仿宋_GB2312"/>
          <w:sz w:val="32"/>
          <w:szCs w:val="32"/>
        </w:rPr>
        <w:t>。</w:t>
      </w:r>
    </w:p>
    <w:p>
      <w:pPr>
        <w:spacing w:line="560" w:lineRule="exact"/>
        <w:ind w:firstLine="640" w:firstLineChars="200"/>
        <w:rPr>
          <w:rFonts w:ascii="黑体" w:hAnsi="黑体" w:eastAsia="黑体" w:cs="Times New Roman"/>
          <w:sz w:val="32"/>
          <w:szCs w:val="32"/>
        </w:rPr>
      </w:pPr>
      <w:r>
        <w:rPr>
          <w:rFonts w:ascii="黑体" w:hAnsi="黑体" w:eastAsia="黑体" w:cs="Times New Roman"/>
          <w:sz w:val="32"/>
          <w:szCs w:val="32"/>
        </w:rPr>
        <w:t>五、关于天津市消防救援总队</w:t>
      </w:r>
      <w:r>
        <w:rPr>
          <w:rFonts w:hint="eastAsia" w:ascii="黑体" w:hAnsi="黑体" w:eastAsia="黑体" w:cs="Times New Roman"/>
          <w:sz w:val="32"/>
          <w:szCs w:val="32"/>
          <w:lang w:eastAsia="zh-CN"/>
        </w:rPr>
        <w:t>训练与战勤保障支队</w:t>
      </w:r>
      <w:r>
        <w:rPr>
          <w:rFonts w:ascii="黑体" w:hAnsi="黑体" w:eastAsia="黑体" w:cs="Times New Roman"/>
          <w:sz w:val="32"/>
          <w:szCs w:val="32"/>
        </w:rPr>
        <w:t>202</w:t>
      </w:r>
      <w:r>
        <w:rPr>
          <w:rFonts w:hint="eastAsia" w:ascii="黑体" w:hAnsi="黑体" w:eastAsia="黑体" w:cs="Times New Roman"/>
          <w:sz w:val="32"/>
          <w:szCs w:val="32"/>
        </w:rPr>
        <w:t>2</w:t>
      </w:r>
      <w:r>
        <w:rPr>
          <w:rFonts w:ascii="黑体" w:hAnsi="黑体" w:eastAsia="黑体" w:cs="Times New Roman"/>
          <w:sz w:val="32"/>
          <w:szCs w:val="32"/>
        </w:rPr>
        <w:t>年收支预算情况的总体</w:t>
      </w:r>
      <w:r>
        <w:rPr>
          <w:rFonts w:hint="eastAsia" w:ascii="黑体" w:hAnsi="黑体" w:eastAsia="黑体" w:cs="Times New Roman"/>
          <w:sz w:val="32"/>
          <w:szCs w:val="32"/>
        </w:rPr>
        <w:t>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天津市消防救援总队</w:t>
      </w:r>
      <w:r>
        <w:rPr>
          <w:rFonts w:hint="eastAsia" w:ascii="仿宋_GB2312" w:eastAsia="仿宋_GB2312"/>
          <w:sz w:val="32"/>
          <w:szCs w:val="32"/>
          <w:lang w:eastAsia="zh-CN"/>
        </w:rPr>
        <w:t>训练与战勤保障支队</w:t>
      </w:r>
      <w:r>
        <w:rPr>
          <w:rFonts w:hint="eastAsia" w:ascii="仿宋_GB2312" w:eastAsia="仿宋_GB2312"/>
          <w:sz w:val="32"/>
          <w:szCs w:val="32"/>
        </w:rPr>
        <w:t>预算收入包括：一般公共预算拨款收入、其他收入、上年结转；支出包括：住房保障支出、灾害防治及应急管理支出。各级地方财政拨款收入在“其他收入”中反映，主要包括消防</w:t>
      </w:r>
      <w:r>
        <w:rPr>
          <w:rFonts w:hint="eastAsia" w:ascii="仿宋_GB2312" w:eastAsia="仿宋_GB2312"/>
          <w:sz w:val="32"/>
          <w:szCs w:val="32"/>
          <w:lang w:val="en-US" w:eastAsia="zh-CN"/>
        </w:rPr>
        <w:t>培训产生的水费、电费、印刷费、取暖费、邮电费、物业管理费、差旅费、维修（护）费、培训费等</w:t>
      </w:r>
      <w:r>
        <w:rPr>
          <w:rFonts w:hint="eastAsia" w:ascii="仿宋_GB2312" w:eastAsia="仿宋_GB2312"/>
          <w:sz w:val="32"/>
          <w:szCs w:val="32"/>
        </w:rPr>
        <w:t>业务经费。天津市消防救援总队</w:t>
      </w:r>
      <w:r>
        <w:rPr>
          <w:rFonts w:hint="eastAsia" w:ascii="仿宋_GB2312" w:eastAsia="仿宋_GB2312"/>
          <w:sz w:val="32"/>
          <w:szCs w:val="32"/>
          <w:lang w:eastAsia="zh-CN"/>
        </w:rPr>
        <w:t>训练与战勤保障支队</w:t>
      </w:r>
      <w:r>
        <w:rPr>
          <w:rFonts w:hint="eastAsia" w:ascii="仿宋_GB2312" w:eastAsia="仿宋_GB2312"/>
          <w:sz w:val="32"/>
          <w:szCs w:val="32"/>
        </w:rPr>
        <w:t>2022年收支总预算</w:t>
      </w:r>
      <w:r>
        <w:rPr>
          <w:rFonts w:hint="eastAsia" w:ascii="仿宋_GB2312" w:eastAsia="仿宋_GB2312"/>
          <w:sz w:val="32"/>
          <w:szCs w:val="32"/>
          <w:lang w:val="en-US" w:eastAsia="zh-CN"/>
        </w:rPr>
        <w:t>7311.76</w:t>
      </w:r>
      <w:r>
        <w:rPr>
          <w:rFonts w:hint="eastAsia" w:ascii="仿宋_GB2312" w:eastAsia="仿宋_GB2312"/>
          <w:sz w:val="32"/>
          <w:szCs w:val="32"/>
        </w:rPr>
        <w:t>万元。</w:t>
      </w:r>
    </w:p>
    <w:p>
      <w:pPr>
        <w:spacing w:line="560" w:lineRule="exact"/>
        <w:ind w:firstLine="640" w:firstLineChars="200"/>
        <w:rPr>
          <w:rFonts w:ascii="黑体" w:hAnsi="黑体" w:eastAsia="黑体"/>
          <w:sz w:val="32"/>
          <w:szCs w:val="32"/>
        </w:rPr>
      </w:pPr>
      <w:r>
        <w:rPr>
          <w:rFonts w:ascii="黑体" w:hAnsi="黑体" w:eastAsia="黑体"/>
          <w:sz w:val="32"/>
          <w:szCs w:val="32"/>
        </w:rPr>
        <w:t>六、关于天津市消防救援总队</w:t>
      </w:r>
      <w:r>
        <w:rPr>
          <w:rFonts w:hint="eastAsia" w:ascii="黑体" w:hAnsi="黑体" w:eastAsia="黑体"/>
          <w:sz w:val="32"/>
          <w:szCs w:val="32"/>
          <w:lang w:eastAsia="zh-CN"/>
        </w:rPr>
        <w:t>训练与战勤保障支队</w:t>
      </w:r>
      <w:r>
        <w:rPr>
          <w:rFonts w:ascii="黑体" w:hAnsi="黑体" w:eastAsia="黑体"/>
          <w:sz w:val="32"/>
          <w:szCs w:val="32"/>
        </w:rPr>
        <w:t>202</w:t>
      </w:r>
      <w:r>
        <w:rPr>
          <w:rFonts w:hint="eastAsia" w:ascii="黑体" w:hAnsi="黑体" w:eastAsia="黑体"/>
          <w:sz w:val="32"/>
          <w:szCs w:val="32"/>
        </w:rPr>
        <w:t>2</w:t>
      </w:r>
      <w:r>
        <w:rPr>
          <w:rFonts w:ascii="黑体" w:hAnsi="黑体" w:eastAsia="黑体"/>
          <w:sz w:val="32"/>
          <w:szCs w:val="32"/>
        </w:rPr>
        <w:t>年收入预算情况说明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天津市消防救援总队</w:t>
      </w:r>
      <w:r>
        <w:rPr>
          <w:rFonts w:hint="eastAsia" w:ascii="仿宋_GB2312" w:eastAsia="仿宋_GB2312"/>
          <w:sz w:val="32"/>
          <w:szCs w:val="32"/>
          <w:lang w:eastAsia="zh-CN"/>
        </w:rPr>
        <w:t>训练与战勤保障支队</w:t>
      </w:r>
      <w:r>
        <w:rPr>
          <w:rFonts w:hint="eastAsia" w:ascii="仿宋_GB2312" w:eastAsia="仿宋_GB2312"/>
          <w:sz w:val="32"/>
          <w:szCs w:val="32"/>
        </w:rPr>
        <w:t>2022年收入预算</w:t>
      </w:r>
      <w:r>
        <w:rPr>
          <w:rFonts w:hint="eastAsia" w:ascii="仿宋_GB2312" w:eastAsia="仿宋_GB2312"/>
          <w:sz w:val="32"/>
          <w:szCs w:val="32"/>
          <w:lang w:val="en-US" w:eastAsia="zh-CN"/>
        </w:rPr>
        <w:t>7311.76</w:t>
      </w:r>
      <w:r>
        <w:rPr>
          <w:rFonts w:hint="eastAsia" w:ascii="仿宋_GB2312" w:eastAsia="仿宋_GB2312"/>
          <w:sz w:val="32"/>
          <w:szCs w:val="32"/>
        </w:rPr>
        <w:t>万元，其中：上年结转</w:t>
      </w:r>
      <w:r>
        <w:rPr>
          <w:rFonts w:hint="eastAsia" w:ascii="仿宋_GB2312" w:eastAsia="仿宋_GB2312"/>
          <w:sz w:val="32"/>
          <w:szCs w:val="32"/>
          <w:lang w:val="en-US" w:eastAsia="zh-CN"/>
        </w:rPr>
        <w:t>2410.7</w:t>
      </w:r>
      <w:r>
        <w:rPr>
          <w:rFonts w:hint="eastAsia" w:ascii="仿宋_GB2312" w:eastAsia="仿宋_GB2312"/>
          <w:sz w:val="32"/>
          <w:szCs w:val="32"/>
        </w:rPr>
        <w:t>万元，占</w:t>
      </w:r>
      <w:r>
        <w:rPr>
          <w:rFonts w:hint="eastAsia" w:ascii="仿宋_GB2312" w:eastAsia="仿宋_GB2312"/>
          <w:sz w:val="32"/>
          <w:szCs w:val="32"/>
          <w:lang w:val="en-US" w:eastAsia="zh-CN"/>
        </w:rPr>
        <w:t>32.97</w:t>
      </w:r>
      <w:r>
        <w:rPr>
          <w:rFonts w:hint="eastAsia" w:ascii="仿宋_GB2312" w:eastAsia="仿宋_GB2312"/>
          <w:sz w:val="32"/>
          <w:szCs w:val="32"/>
        </w:rPr>
        <w:t>%，主要原因是国家综合性消防救援队伍养老医疗保险政策尚未实施，结转的养老保险缴费等人员经费；一般公共预算拨款收入</w:t>
      </w:r>
      <w:r>
        <w:rPr>
          <w:rFonts w:hint="eastAsia" w:ascii="仿宋_GB2312" w:eastAsia="仿宋_GB2312"/>
          <w:sz w:val="32"/>
          <w:szCs w:val="32"/>
          <w:lang w:val="en-US" w:eastAsia="zh-CN"/>
        </w:rPr>
        <w:t>4901.06</w:t>
      </w:r>
      <w:r>
        <w:rPr>
          <w:rFonts w:hint="eastAsia" w:ascii="仿宋_GB2312" w:eastAsia="仿宋_GB2312"/>
          <w:sz w:val="32"/>
          <w:szCs w:val="32"/>
        </w:rPr>
        <w:t>万元，占</w:t>
      </w:r>
      <w:r>
        <w:rPr>
          <w:rFonts w:hint="eastAsia" w:ascii="仿宋_GB2312" w:eastAsia="仿宋_GB2312"/>
          <w:sz w:val="32"/>
          <w:szCs w:val="32"/>
          <w:lang w:val="en-US" w:eastAsia="zh-CN"/>
        </w:rPr>
        <w:t>6</w:t>
      </w:r>
      <w:r>
        <w:rPr>
          <w:rFonts w:hint="eastAsia" w:ascii="仿宋_GB2312" w:eastAsia="仿宋_GB2312"/>
          <w:sz w:val="32"/>
          <w:szCs w:val="32"/>
        </w:rPr>
        <w:t>7.</w:t>
      </w:r>
      <w:r>
        <w:rPr>
          <w:rFonts w:hint="eastAsia" w:ascii="仿宋_GB2312" w:eastAsia="仿宋_GB2312"/>
          <w:sz w:val="32"/>
          <w:szCs w:val="32"/>
          <w:lang w:val="en-US" w:eastAsia="zh-CN"/>
        </w:rPr>
        <w:t>03</w:t>
      </w:r>
      <w:r>
        <w:rPr>
          <w:rFonts w:hint="eastAsia" w:ascii="仿宋_GB2312" w:eastAsia="仿宋_GB2312"/>
          <w:sz w:val="32"/>
          <w:szCs w:val="32"/>
        </w:rPr>
        <w:t>%。</w:t>
      </w:r>
    </w:p>
    <w:p>
      <w:pPr>
        <w:spacing w:line="560" w:lineRule="exact"/>
        <w:ind w:firstLine="640" w:firstLineChars="200"/>
        <w:rPr>
          <w:rFonts w:ascii="黑体" w:hAnsi="黑体" w:eastAsia="黑体"/>
          <w:sz w:val="32"/>
          <w:szCs w:val="32"/>
        </w:rPr>
      </w:pPr>
      <w:r>
        <w:rPr>
          <w:rFonts w:ascii="黑体" w:hAnsi="黑体" w:eastAsia="黑体"/>
          <w:sz w:val="32"/>
          <w:szCs w:val="32"/>
        </w:rPr>
        <w:t>七、关于天津市消防救援总队</w:t>
      </w:r>
      <w:r>
        <w:rPr>
          <w:rFonts w:hint="eastAsia" w:ascii="黑体" w:hAnsi="黑体" w:eastAsia="黑体"/>
          <w:sz w:val="32"/>
          <w:szCs w:val="32"/>
          <w:lang w:eastAsia="zh-CN"/>
        </w:rPr>
        <w:t>训练与战勤保障支队</w:t>
      </w:r>
      <w:r>
        <w:rPr>
          <w:rFonts w:ascii="黑体" w:hAnsi="黑体" w:eastAsia="黑体"/>
          <w:sz w:val="32"/>
          <w:szCs w:val="32"/>
        </w:rPr>
        <w:t>202</w:t>
      </w:r>
      <w:r>
        <w:rPr>
          <w:rFonts w:hint="eastAsia" w:ascii="黑体" w:hAnsi="黑体" w:eastAsia="黑体"/>
          <w:sz w:val="32"/>
          <w:szCs w:val="32"/>
        </w:rPr>
        <w:t>2</w:t>
      </w:r>
      <w:r>
        <w:rPr>
          <w:rFonts w:ascii="黑体" w:hAnsi="黑体" w:eastAsia="黑体"/>
          <w:sz w:val="32"/>
          <w:szCs w:val="32"/>
        </w:rPr>
        <w:t>年支出预算情况说明</w:t>
      </w:r>
    </w:p>
    <w:p>
      <w:pPr>
        <w:spacing w:line="560" w:lineRule="exact"/>
        <w:ind w:firstLine="640" w:firstLineChars="200"/>
        <w:rPr>
          <w:rFonts w:hint="eastAsia" w:ascii="仿宋_GB2312" w:eastAsia="仿宋_GB2312"/>
          <w:color w:val="0000FF"/>
          <w:sz w:val="32"/>
          <w:szCs w:val="32"/>
        </w:rPr>
      </w:pPr>
      <w:r>
        <w:rPr>
          <w:rFonts w:hint="eastAsia" w:ascii="仿宋_GB2312" w:eastAsia="仿宋_GB2312"/>
          <w:sz w:val="32"/>
          <w:szCs w:val="32"/>
        </w:rPr>
        <w:t>天津市消防救援总队</w:t>
      </w:r>
      <w:r>
        <w:rPr>
          <w:rFonts w:hint="eastAsia" w:ascii="仿宋_GB2312" w:eastAsia="仿宋_GB2312"/>
          <w:sz w:val="32"/>
          <w:szCs w:val="32"/>
          <w:lang w:eastAsia="zh-CN"/>
        </w:rPr>
        <w:t>训练与战勤保障支队</w:t>
      </w:r>
      <w:r>
        <w:rPr>
          <w:rFonts w:hint="eastAsia" w:ascii="仿宋_GB2312" w:eastAsia="仿宋_GB2312"/>
          <w:sz w:val="32"/>
          <w:szCs w:val="32"/>
        </w:rPr>
        <w:t>2022年支出预算</w:t>
      </w:r>
      <w:r>
        <w:rPr>
          <w:rFonts w:hint="eastAsia" w:ascii="仿宋_GB2312" w:eastAsia="仿宋_GB2312"/>
          <w:sz w:val="32"/>
          <w:szCs w:val="32"/>
          <w:lang w:val="en-US" w:eastAsia="zh-CN"/>
        </w:rPr>
        <w:t>7311.76</w:t>
      </w:r>
      <w:r>
        <w:rPr>
          <w:rFonts w:hint="eastAsia" w:ascii="仿宋_GB2312" w:eastAsia="仿宋_GB2312"/>
          <w:sz w:val="32"/>
          <w:szCs w:val="32"/>
        </w:rPr>
        <w:t>万元，其中：基本支出</w:t>
      </w:r>
      <w:r>
        <w:rPr>
          <w:rFonts w:hint="eastAsia" w:ascii="仿宋_GB2312" w:eastAsia="仿宋_GB2312"/>
          <w:sz w:val="32"/>
          <w:szCs w:val="32"/>
          <w:lang w:val="en-US" w:eastAsia="zh-CN"/>
        </w:rPr>
        <w:t>6763.53</w:t>
      </w:r>
      <w:r>
        <w:rPr>
          <w:rFonts w:hint="eastAsia" w:ascii="仿宋_GB2312" w:eastAsia="仿宋_GB2312"/>
          <w:sz w:val="32"/>
          <w:szCs w:val="32"/>
        </w:rPr>
        <w:t>万元，占</w:t>
      </w:r>
      <w:r>
        <w:rPr>
          <w:rFonts w:hint="eastAsia" w:ascii="仿宋_GB2312" w:eastAsia="仿宋_GB2312"/>
          <w:sz w:val="32"/>
          <w:szCs w:val="32"/>
          <w:lang w:val="en-US" w:eastAsia="zh-CN"/>
        </w:rPr>
        <w:t>92.5</w:t>
      </w:r>
      <w:r>
        <w:rPr>
          <w:rFonts w:hint="eastAsia" w:ascii="仿宋_GB2312" w:eastAsia="仿宋_GB2312"/>
          <w:sz w:val="32"/>
          <w:szCs w:val="32"/>
        </w:rPr>
        <w:t>%；项目支出</w:t>
      </w:r>
      <w:r>
        <w:rPr>
          <w:rFonts w:hint="eastAsia" w:ascii="仿宋_GB2312" w:eastAsia="仿宋_GB2312"/>
          <w:sz w:val="32"/>
          <w:szCs w:val="32"/>
          <w:lang w:val="en-US" w:eastAsia="zh-CN"/>
        </w:rPr>
        <w:t>548.23</w:t>
      </w:r>
      <w:r>
        <w:rPr>
          <w:rFonts w:hint="eastAsia" w:ascii="仿宋_GB2312" w:eastAsia="仿宋_GB2312"/>
          <w:sz w:val="32"/>
          <w:szCs w:val="32"/>
        </w:rPr>
        <w:t>万元，占</w:t>
      </w:r>
      <w:r>
        <w:rPr>
          <w:rFonts w:hint="eastAsia" w:ascii="仿宋_GB2312" w:eastAsia="仿宋_GB2312"/>
          <w:sz w:val="32"/>
          <w:szCs w:val="32"/>
          <w:lang w:val="en-US" w:eastAsia="zh-CN"/>
        </w:rPr>
        <w:t>7.5</w:t>
      </w:r>
      <w:r>
        <w:rPr>
          <w:rFonts w:hint="eastAsia"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w:t>
      </w:r>
      <w:r>
        <w:rPr>
          <w:rFonts w:ascii="黑体" w:hAnsi="黑体" w:eastAsia="黑体"/>
          <w:sz w:val="32"/>
          <w:szCs w:val="32"/>
        </w:rPr>
        <w:t>关于天津市消防救援总队</w:t>
      </w:r>
      <w:r>
        <w:rPr>
          <w:rFonts w:hint="eastAsia" w:ascii="黑体" w:hAnsi="黑体" w:eastAsia="黑体"/>
          <w:sz w:val="32"/>
          <w:szCs w:val="32"/>
          <w:lang w:eastAsia="zh-CN"/>
        </w:rPr>
        <w:t>训练与战勤保障支队</w:t>
      </w:r>
      <w:r>
        <w:rPr>
          <w:rFonts w:ascii="黑体" w:hAnsi="黑体" w:eastAsia="黑体"/>
          <w:sz w:val="32"/>
          <w:szCs w:val="32"/>
        </w:rPr>
        <w:t>202</w:t>
      </w:r>
      <w:r>
        <w:rPr>
          <w:rFonts w:hint="eastAsia" w:ascii="黑体" w:hAnsi="黑体" w:eastAsia="黑体"/>
          <w:sz w:val="32"/>
          <w:szCs w:val="32"/>
        </w:rPr>
        <w:t>2</w:t>
      </w:r>
      <w:r>
        <w:rPr>
          <w:rFonts w:ascii="黑体" w:hAnsi="黑体" w:eastAsia="黑体"/>
          <w:sz w:val="32"/>
          <w:szCs w:val="32"/>
        </w:rPr>
        <w:t>年政府性基金预算支出情况的说明</w:t>
      </w:r>
    </w:p>
    <w:p>
      <w:pPr>
        <w:spacing w:line="560" w:lineRule="exact"/>
        <w:ind w:firstLine="640" w:firstLineChars="200"/>
        <w:rPr>
          <w:rFonts w:hint="eastAsia" w:ascii="仿宋_GB2312" w:eastAsia="仿宋_GB2312"/>
          <w:b/>
          <w:sz w:val="32"/>
          <w:szCs w:val="32"/>
        </w:rPr>
      </w:pPr>
      <w:r>
        <w:rPr>
          <w:rFonts w:hint="eastAsia" w:ascii="仿宋_GB2312" w:eastAsia="仿宋_GB2312"/>
          <w:sz w:val="32"/>
          <w:szCs w:val="32"/>
        </w:rPr>
        <w:t>天津市消防救援总队</w:t>
      </w:r>
      <w:r>
        <w:rPr>
          <w:rFonts w:hint="eastAsia" w:ascii="仿宋_GB2312" w:eastAsia="仿宋_GB2312"/>
          <w:sz w:val="32"/>
          <w:szCs w:val="32"/>
          <w:lang w:eastAsia="zh-CN"/>
        </w:rPr>
        <w:t>训练与战勤保障支队</w:t>
      </w:r>
      <w:r>
        <w:rPr>
          <w:rFonts w:hint="eastAsia" w:ascii="仿宋_GB2312" w:eastAsia="仿宋_GB2312"/>
          <w:sz w:val="32"/>
          <w:szCs w:val="32"/>
        </w:rPr>
        <w:t>2022年没有使用政府性基金预算拨款安排支出。</w:t>
      </w:r>
    </w:p>
    <w:p>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九、</w:t>
      </w:r>
      <w:r>
        <w:rPr>
          <w:rFonts w:ascii="黑体" w:hAnsi="黑体" w:eastAsia="黑体"/>
          <w:sz w:val="32"/>
          <w:szCs w:val="32"/>
        </w:rPr>
        <w:t>关于天津市消防救援总队</w:t>
      </w:r>
      <w:r>
        <w:rPr>
          <w:rFonts w:hint="eastAsia" w:ascii="黑体" w:hAnsi="黑体" w:eastAsia="黑体"/>
          <w:sz w:val="32"/>
          <w:szCs w:val="32"/>
          <w:lang w:eastAsia="zh-CN"/>
        </w:rPr>
        <w:t>训练与战勤保障支队</w:t>
      </w:r>
      <w:r>
        <w:rPr>
          <w:rFonts w:ascii="黑体" w:hAnsi="黑体" w:eastAsia="黑体"/>
          <w:sz w:val="32"/>
          <w:szCs w:val="32"/>
        </w:rPr>
        <w:t>202</w:t>
      </w:r>
      <w:r>
        <w:rPr>
          <w:rFonts w:hint="eastAsia" w:ascii="黑体" w:hAnsi="黑体" w:eastAsia="黑体"/>
          <w:sz w:val="32"/>
          <w:szCs w:val="32"/>
        </w:rPr>
        <w:t>2</w:t>
      </w:r>
      <w:r>
        <w:rPr>
          <w:rFonts w:ascii="黑体" w:hAnsi="黑体" w:eastAsia="黑体"/>
          <w:sz w:val="32"/>
          <w:szCs w:val="32"/>
        </w:rPr>
        <w:t>年</w:t>
      </w:r>
      <w:r>
        <w:rPr>
          <w:rFonts w:hint="eastAsia" w:ascii="黑体" w:hAnsi="黑体" w:eastAsia="黑体"/>
          <w:sz w:val="32"/>
          <w:szCs w:val="32"/>
        </w:rPr>
        <w:t>国有资本经营预算情况的说明</w:t>
      </w:r>
    </w:p>
    <w:p>
      <w:pPr>
        <w:spacing w:line="560" w:lineRule="exact"/>
        <w:ind w:firstLine="640" w:firstLineChars="200"/>
        <w:rPr>
          <w:rFonts w:hint="eastAsia" w:ascii="仿宋_GB2312" w:eastAsia="仿宋_GB2312"/>
          <w:b/>
          <w:sz w:val="32"/>
          <w:szCs w:val="32"/>
        </w:rPr>
      </w:pPr>
      <w:r>
        <w:rPr>
          <w:rFonts w:hint="eastAsia" w:ascii="仿宋_GB2312" w:eastAsia="仿宋_GB2312"/>
          <w:sz w:val="32"/>
          <w:szCs w:val="32"/>
        </w:rPr>
        <w:t>天津市消防救援总队</w:t>
      </w:r>
      <w:r>
        <w:rPr>
          <w:rFonts w:hint="eastAsia" w:ascii="仿宋_GB2312" w:eastAsia="仿宋_GB2312"/>
          <w:sz w:val="32"/>
          <w:szCs w:val="32"/>
          <w:lang w:eastAsia="zh-CN"/>
        </w:rPr>
        <w:t>训练与战勤保障支队</w:t>
      </w:r>
      <w:r>
        <w:rPr>
          <w:rFonts w:hint="eastAsia" w:ascii="仿宋_GB2312" w:eastAsia="仿宋_GB2312"/>
          <w:sz w:val="32"/>
          <w:szCs w:val="32"/>
        </w:rPr>
        <w:t>2022年没有使用国有资本经营预算拨款安排支出。</w:t>
      </w:r>
    </w:p>
    <w:p>
      <w:pPr>
        <w:spacing w:line="560" w:lineRule="exact"/>
        <w:ind w:firstLine="640" w:firstLineChars="200"/>
        <w:rPr>
          <w:rFonts w:eastAsia="仿宋_GB2312"/>
          <w:b/>
          <w:bCs/>
          <w:sz w:val="32"/>
          <w:szCs w:val="30"/>
        </w:rPr>
      </w:pPr>
      <w:r>
        <w:rPr>
          <w:rFonts w:hint="eastAsia" w:ascii="黑体" w:hAnsi="黑体" w:eastAsia="黑体"/>
          <w:sz w:val="32"/>
          <w:szCs w:val="32"/>
        </w:rPr>
        <w:t>十</w:t>
      </w:r>
      <w:r>
        <w:rPr>
          <w:rFonts w:ascii="黑体" w:hAnsi="黑体" w:eastAsia="黑体"/>
          <w:sz w:val="32"/>
          <w:szCs w:val="32"/>
        </w:rPr>
        <w:t>、其他重要事项的情况说明</w:t>
      </w:r>
      <w:r>
        <w:rPr>
          <w:rFonts w:eastAsia="方正黑体_GBK"/>
          <w:sz w:val="32"/>
          <w:szCs w:val="32"/>
        </w:rPr>
        <w:br w:type="textWrapping"/>
      </w:r>
      <w:r>
        <w:rPr>
          <w:rFonts w:eastAsia="黑体"/>
          <w:sz w:val="32"/>
          <w:szCs w:val="32"/>
        </w:rPr>
        <w:t xml:space="preserve">   </w:t>
      </w:r>
      <w:r>
        <w:rPr>
          <w:rFonts w:hint="eastAsia" w:ascii="楷体_GB2312" w:eastAsia="楷体_GB2312"/>
          <w:sz w:val="32"/>
          <w:szCs w:val="32"/>
        </w:rPr>
        <w:t xml:space="preserve"> </w:t>
      </w:r>
      <w:r>
        <w:rPr>
          <w:rFonts w:hint="eastAsia" w:ascii="楷体_GB2312" w:eastAsia="楷体_GB2312"/>
          <w:b/>
          <w:sz w:val="32"/>
          <w:szCs w:val="32"/>
        </w:rPr>
        <w:t>（一）</w:t>
      </w:r>
      <w:r>
        <w:rPr>
          <w:rFonts w:hint="eastAsia" w:ascii="楷体_GB2312" w:eastAsia="楷体_GB2312"/>
          <w:b/>
          <w:sz w:val="32"/>
          <w:szCs w:val="30"/>
        </w:rPr>
        <w:t>政府采购情况。</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2022年政府采购预算总额</w:t>
      </w:r>
      <w:r>
        <w:rPr>
          <w:rFonts w:hint="eastAsia" w:ascii="仿宋_GB2312" w:eastAsia="仿宋_GB2312"/>
          <w:sz w:val="32"/>
          <w:szCs w:val="32"/>
          <w:lang w:val="en-US" w:eastAsia="zh-CN"/>
        </w:rPr>
        <w:t>1114.6</w:t>
      </w:r>
      <w:r>
        <w:rPr>
          <w:rFonts w:hint="eastAsia" w:ascii="仿宋_GB2312" w:eastAsia="仿宋_GB2312"/>
          <w:sz w:val="32"/>
          <w:szCs w:val="32"/>
        </w:rPr>
        <w:t>万元，其中：政府采购货物预算</w:t>
      </w:r>
      <w:r>
        <w:rPr>
          <w:rFonts w:hint="eastAsia" w:ascii="仿宋_GB2312" w:eastAsia="仿宋_GB2312"/>
          <w:sz w:val="32"/>
          <w:szCs w:val="32"/>
          <w:lang w:val="en-US" w:eastAsia="zh-CN"/>
        </w:rPr>
        <w:t>82.6</w:t>
      </w:r>
      <w:r>
        <w:rPr>
          <w:rFonts w:hint="eastAsia" w:ascii="仿宋_GB2312" w:eastAsia="仿宋_GB2312"/>
          <w:sz w:val="32"/>
          <w:szCs w:val="32"/>
        </w:rPr>
        <w:t>万元、政府采购服务预算</w:t>
      </w:r>
      <w:r>
        <w:rPr>
          <w:rFonts w:hint="eastAsia" w:ascii="仿宋_GB2312" w:eastAsia="仿宋_GB2312"/>
          <w:sz w:val="32"/>
          <w:szCs w:val="32"/>
          <w:lang w:val="en-US" w:eastAsia="zh-CN"/>
        </w:rPr>
        <w:t>1032</w:t>
      </w:r>
      <w:r>
        <w:rPr>
          <w:rFonts w:hint="eastAsia" w:ascii="仿宋_GB2312" w:eastAsia="仿宋_GB2312"/>
          <w:sz w:val="32"/>
          <w:szCs w:val="32"/>
        </w:rPr>
        <w:t>万元。</w:t>
      </w:r>
    </w:p>
    <w:p>
      <w:pPr>
        <w:spacing w:line="560" w:lineRule="exact"/>
        <w:ind w:firstLine="627" w:firstLineChars="196"/>
        <w:rPr>
          <w:rFonts w:eastAsia="仿宋_GB2312"/>
          <w:b/>
          <w:bCs/>
          <w:sz w:val="32"/>
          <w:szCs w:val="30"/>
        </w:rPr>
      </w:pPr>
      <w:r>
        <w:rPr>
          <w:rFonts w:ascii="楷体_GB2312" w:eastAsia="楷体_GB2312"/>
          <w:b/>
          <w:sz w:val="32"/>
          <w:szCs w:val="30"/>
        </w:rPr>
        <w:t>（二）国有资产占有使用情况。</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截至2021年7月31日，共有车辆</w:t>
      </w:r>
      <w:r>
        <w:rPr>
          <w:rFonts w:hint="eastAsia" w:ascii="仿宋_GB2312" w:eastAsia="仿宋_GB2312"/>
          <w:sz w:val="32"/>
          <w:szCs w:val="32"/>
          <w:lang w:val="en-US" w:eastAsia="zh-CN"/>
        </w:rPr>
        <w:t>43</w:t>
      </w:r>
      <w:r>
        <w:rPr>
          <w:rFonts w:hint="eastAsia" w:ascii="仿宋_GB2312" w:eastAsia="仿宋_GB2312"/>
          <w:sz w:val="32"/>
          <w:szCs w:val="32"/>
        </w:rPr>
        <w:t>辆，其中，应急保障用车</w:t>
      </w:r>
      <w:r>
        <w:rPr>
          <w:rFonts w:hint="eastAsia" w:ascii="仿宋_GB2312" w:eastAsia="仿宋_GB2312"/>
          <w:sz w:val="32"/>
          <w:szCs w:val="32"/>
          <w:lang w:val="en-US" w:eastAsia="zh-CN"/>
        </w:rPr>
        <w:t>26</w:t>
      </w:r>
      <w:r>
        <w:rPr>
          <w:rFonts w:hint="eastAsia" w:ascii="仿宋_GB2312" w:eastAsia="仿宋_GB2312"/>
          <w:sz w:val="32"/>
          <w:szCs w:val="32"/>
        </w:rPr>
        <w:t>辆、</w:t>
      </w:r>
      <w:r>
        <w:rPr>
          <w:rFonts w:hint="eastAsia" w:ascii="仿宋_GB2312" w:eastAsia="仿宋_GB2312"/>
          <w:sz w:val="32"/>
          <w:szCs w:val="32"/>
          <w:lang w:val="en-US" w:eastAsia="zh-CN"/>
        </w:rPr>
        <w:t>其他</w:t>
      </w:r>
      <w:r>
        <w:rPr>
          <w:rFonts w:hint="eastAsia" w:ascii="仿宋_GB2312" w:eastAsia="仿宋_GB2312"/>
          <w:sz w:val="32"/>
          <w:szCs w:val="32"/>
        </w:rPr>
        <w:t>用车</w:t>
      </w:r>
      <w:r>
        <w:rPr>
          <w:rFonts w:hint="eastAsia" w:ascii="仿宋_GB2312" w:eastAsia="仿宋_GB2312"/>
          <w:sz w:val="32"/>
          <w:szCs w:val="32"/>
          <w:lang w:val="en-US" w:eastAsia="zh-CN"/>
        </w:rPr>
        <w:t>17</w:t>
      </w:r>
      <w:r>
        <w:rPr>
          <w:rFonts w:hint="eastAsia" w:ascii="仿宋_GB2312" w:eastAsia="仿宋_GB2312"/>
          <w:sz w:val="32"/>
          <w:szCs w:val="32"/>
        </w:rPr>
        <w:t>辆</w:t>
      </w:r>
      <w:r>
        <w:rPr>
          <w:rFonts w:hint="eastAsia" w:ascii="仿宋_GB2312" w:eastAsia="仿宋_GB2312"/>
          <w:sz w:val="32"/>
          <w:szCs w:val="32"/>
          <w:lang w:eastAsia="zh-CN"/>
        </w:rPr>
        <w:t>。</w:t>
      </w:r>
    </w:p>
    <w:p>
      <w:pPr>
        <w:spacing w:line="560" w:lineRule="exact"/>
        <w:ind w:firstLine="640" w:firstLineChars="200"/>
        <w:rPr>
          <w:rFonts w:eastAsia="楷体_GB2312"/>
          <w:b/>
          <w:color w:val="000000"/>
          <w:sz w:val="32"/>
          <w:szCs w:val="32"/>
        </w:rPr>
      </w:pPr>
      <w:r>
        <w:rPr>
          <w:rFonts w:hint="eastAsia" w:ascii="楷体_GB2312" w:eastAsia="楷体_GB2312"/>
          <w:b/>
          <w:sz w:val="32"/>
          <w:szCs w:val="32"/>
        </w:rPr>
        <w:t>（三）机关运行经费。</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2022年天津市消防救援总队</w:t>
      </w:r>
      <w:r>
        <w:rPr>
          <w:rFonts w:hint="eastAsia" w:ascii="仿宋_GB2312" w:eastAsia="仿宋_GB2312"/>
          <w:sz w:val="32"/>
          <w:szCs w:val="32"/>
          <w:lang w:eastAsia="zh-CN"/>
        </w:rPr>
        <w:t>训练与战勤保障支队</w:t>
      </w:r>
      <w:r>
        <w:rPr>
          <w:rFonts w:hint="eastAsia" w:ascii="仿宋_GB2312" w:eastAsia="仿宋_GB2312"/>
          <w:sz w:val="32"/>
          <w:szCs w:val="32"/>
        </w:rPr>
        <w:t>运行经费财政拨款预算</w:t>
      </w:r>
      <w:r>
        <w:rPr>
          <w:rFonts w:hint="eastAsia" w:ascii="仿宋_GB2312" w:eastAsia="仿宋_GB2312"/>
          <w:sz w:val="32"/>
          <w:szCs w:val="32"/>
          <w:lang w:val="en-US" w:eastAsia="zh-CN"/>
        </w:rPr>
        <w:t>350</w:t>
      </w:r>
      <w:r>
        <w:rPr>
          <w:rFonts w:hint="eastAsia" w:ascii="仿宋_GB2312" w:eastAsia="仿宋_GB2312"/>
          <w:sz w:val="32"/>
          <w:szCs w:val="32"/>
        </w:rPr>
        <w:t>万元，比2021年降低</w:t>
      </w:r>
      <w:r>
        <w:rPr>
          <w:rFonts w:hint="eastAsia" w:ascii="仿宋_GB2312" w:eastAsia="仿宋_GB2312"/>
          <w:sz w:val="32"/>
          <w:szCs w:val="32"/>
          <w:lang w:val="en-US" w:eastAsia="zh-CN"/>
        </w:rPr>
        <w:t>850</w:t>
      </w:r>
      <w:r>
        <w:rPr>
          <w:rFonts w:hint="eastAsia" w:ascii="仿宋_GB2312" w:eastAsia="仿宋_GB2312"/>
          <w:sz w:val="32"/>
          <w:szCs w:val="32"/>
        </w:rPr>
        <w:t>万元，主要原因是落实过紧日子要求，精简会议活动安排，重点压减了消耗性支出。</w:t>
      </w:r>
    </w:p>
    <w:p>
      <w:pPr>
        <w:spacing w:line="560" w:lineRule="exact"/>
        <w:ind w:firstLine="640" w:firstLineChars="200"/>
        <w:rPr>
          <w:rFonts w:ascii="楷体_GB2312" w:eastAsia="楷体_GB2312"/>
          <w:b/>
          <w:sz w:val="32"/>
          <w:szCs w:val="32"/>
        </w:rPr>
      </w:pPr>
      <w:r>
        <w:rPr>
          <w:rFonts w:ascii="楷体_GB2312" w:eastAsia="楷体_GB2312"/>
          <w:b/>
          <w:sz w:val="32"/>
          <w:szCs w:val="32"/>
        </w:rPr>
        <w:t>（四）预算绩效情况。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2022年对天津市消防救援总队</w:t>
      </w:r>
      <w:r>
        <w:rPr>
          <w:rFonts w:hint="eastAsia" w:ascii="仿宋_GB2312" w:eastAsia="仿宋_GB2312"/>
          <w:sz w:val="32"/>
          <w:szCs w:val="32"/>
          <w:lang w:eastAsia="zh-CN"/>
        </w:rPr>
        <w:t>训练与战勤保障支队</w:t>
      </w:r>
      <w:r>
        <w:rPr>
          <w:rFonts w:hint="eastAsia" w:ascii="仿宋_GB2312" w:eastAsia="仿宋_GB2312"/>
          <w:sz w:val="32"/>
          <w:szCs w:val="32"/>
        </w:rPr>
        <w:t>项目支出全面实施绩效目标管理，涉及一般公共预算拨款</w:t>
      </w:r>
      <w:r>
        <w:rPr>
          <w:rFonts w:hint="eastAsia" w:ascii="仿宋_GB2312" w:eastAsia="仿宋_GB2312"/>
          <w:sz w:val="32"/>
          <w:szCs w:val="32"/>
          <w:lang w:val="en-US" w:eastAsia="zh-CN"/>
        </w:rPr>
        <w:t>540.63</w:t>
      </w:r>
      <w:r>
        <w:rPr>
          <w:rFonts w:hint="eastAsia" w:ascii="仿宋_GB2312" w:eastAsia="仿宋_GB2312"/>
          <w:sz w:val="32"/>
          <w:szCs w:val="32"/>
        </w:rPr>
        <w:t>万元，一级项目2个。见“附表”中的附件10和附件11。</w:t>
      </w:r>
    </w:p>
    <w:p>
      <w:pPr>
        <w:spacing w:line="560" w:lineRule="exact"/>
        <w:ind w:firstLine="640" w:firstLineChars="200"/>
        <w:rPr>
          <w:rFonts w:ascii="仿宋_GB2312" w:eastAsia="仿宋_GB2312"/>
          <w:sz w:val="32"/>
          <w:szCs w:val="32"/>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r>
        <w:rPr>
          <w:rFonts w:hint="eastAsia"/>
        </w:rPr>
        <w:t>、</w:t>
      </w: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pStyle w:val="2"/>
        <w:ind w:firstLine="420"/>
        <w:rPr>
          <w:rFonts w:hint="eastAsia"/>
        </w:rPr>
      </w:pPr>
    </w:p>
    <w:p>
      <w:pPr>
        <w:adjustRightInd w:val="0"/>
        <w:spacing w:line="600" w:lineRule="exact"/>
        <w:rPr>
          <w:rFonts w:eastAsia="仿宋_GB2312"/>
          <w:sz w:val="32"/>
          <w:szCs w:val="32"/>
        </w:rPr>
      </w:pPr>
    </w:p>
    <w:p>
      <w:pPr>
        <w:adjustRightInd w:val="0"/>
        <w:spacing w:line="600" w:lineRule="exact"/>
        <w:rPr>
          <w:rFonts w:eastAsia="仿宋_GB2312"/>
          <w:sz w:val="32"/>
          <w:szCs w:val="32"/>
        </w:rPr>
      </w:pPr>
    </w:p>
    <w:p>
      <w:pPr>
        <w:adjustRightInd w:val="0"/>
        <w:spacing w:line="600" w:lineRule="exact"/>
        <w:rPr>
          <w:rFonts w:eastAsia="仿宋_GB2312"/>
          <w:sz w:val="32"/>
          <w:szCs w:val="32"/>
        </w:rPr>
      </w:pPr>
      <w:r>
        <mc:AlternateContent>
          <mc:Choice Requires="wpg">
            <w:drawing>
              <wp:anchor distT="0" distB="0" distL="114300" distR="114300" simplePos="0" relativeHeight="251666432" behindDoc="1" locked="0" layoutInCell="1" allowOverlap="1">
                <wp:simplePos x="0" y="0"/>
                <wp:positionH relativeFrom="column">
                  <wp:posOffset>-1014095</wp:posOffset>
                </wp:positionH>
                <wp:positionV relativeFrom="paragraph">
                  <wp:posOffset>-945515</wp:posOffset>
                </wp:positionV>
                <wp:extent cx="7543800" cy="11357610"/>
                <wp:effectExtent l="4445" t="0" r="14605" b="15240"/>
                <wp:wrapNone/>
                <wp:docPr id="28" name="组合 1051"/>
                <wp:cNvGraphicFramePr/>
                <a:graphic xmlns:a="http://schemas.openxmlformats.org/drawingml/2006/main">
                  <a:graphicData uri="http://schemas.microsoft.com/office/word/2010/wordprocessingGroup">
                    <wpg:wgp>
                      <wpg:cNvGrpSpPr/>
                      <wpg:grpSpPr>
                        <a:xfrm>
                          <a:off x="0" y="0"/>
                          <a:ext cx="7543800" cy="11357610"/>
                          <a:chOff x="0" y="-907"/>
                          <a:chExt cx="11880" cy="17886"/>
                        </a:xfrm>
                        <a:effectLst/>
                      </wpg:grpSpPr>
                      <wps:wsp>
                        <wps:cNvPr id="21" name="矩形 21"/>
                        <wps:cNvSpPr/>
                        <wps:spPr>
                          <a:xfrm>
                            <a:off x="6886" y="-877"/>
                            <a:ext cx="4994" cy="17856"/>
                          </a:xfrm>
                          <a:prstGeom prst="rect">
                            <a:avLst/>
                          </a:prstGeom>
                          <a:solidFill>
                            <a:srgbClr val="CCFFCC"/>
                          </a:solidFill>
                          <a:ln w="9525" cap="flat" cmpd="sng">
                            <a:solidFill>
                              <a:srgbClr val="000000"/>
                            </a:solidFill>
                            <a:prstDash val="solid"/>
                            <a:miter/>
                            <a:headEnd type="none" w="med" len="med"/>
                            <a:tailEnd type="none" w="med" len="med"/>
                          </a:ln>
                          <a:effectLst/>
                        </wps:spPr>
                        <wps:txbx>
                          <w:txbxContent>
                            <w:p>
                              <w:pPr>
                                <w:jc w:val="center"/>
                              </w:pPr>
                            </w:p>
                            <w:p>
                              <w:pPr>
                                <w:jc w:val="center"/>
                              </w:pPr>
                            </w:p>
                            <w:p>
                              <w:pPr>
                                <w:jc w:val="center"/>
                              </w:pPr>
                            </w:p>
                          </w:txbxContent>
                        </wps:txbx>
                        <wps:bodyPr wrap="square" upright="1"/>
                      </wps:wsp>
                      <wpg:grpSp>
                        <wpg:cNvPr id="26" name="组合 26"/>
                        <wpg:cNvGrpSpPr/>
                        <wpg:grpSpPr>
                          <a:xfrm>
                            <a:off x="6460" y="-907"/>
                            <a:ext cx="418" cy="17815"/>
                            <a:chOff x="4" y="-967"/>
                            <a:chExt cx="418" cy="17815"/>
                          </a:xfrm>
                          <a:effectLst/>
                        </wpg:grpSpPr>
                        <wps:wsp>
                          <wps:cNvPr id="22" name="直接连接符 22"/>
                          <wps:cNvCnPr/>
                          <wps:spPr>
                            <a:xfrm>
                              <a:off x="101" y="-967"/>
                              <a:ext cx="57" cy="17815"/>
                            </a:xfrm>
                            <a:prstGeom prst="line">
                              <a:avLst/>
                            </a:prstGeom>
                            <a:ln w="12700" cap="flat" cmpd="sng">
                              <a:solidFill>
                                <a:srgbClr val="CCCC00"/>
                              </a:solidFill>
                              <a:prstDash val="solid"/>
                              <a:headEnd type="none" w="med" len="med"/>
                              <a:tailEnd type="none" w="med" len="med"/>
                            </a:ln>
                            <a:effectLst/>
                          </wps:spPr>
                          <wps:bodyPr upright="1"/>
                        </wps:wsp>
                        <wps:wsp>
                          <wps:cNvPr id="23" name="直接连接符 23"/>
                          <wps:cNvCnPr/>
                          <wps:spPr>
                            <a:xfrm>
                              <a:off x="420" y="0"/>
                              <a:ext cx="2" cy="16848"/>
                            </a:xfrm>
                            <a:prstGeom prst="line">
                              <a:avLst/>
                            </a:prstGeom>
                            <a:ln w="12700" cap="flat" cmpd="sng">
                              <a:solidFill>
                                <a:srgbClr val="CCCC00"/>
                              </a:solidFill>
                              <a:prstDash val="solid"/>
                              <a:headEnd type="none" w="med" len="med"/>
                              <a:tailEnd type="none" w="med" len="med"/>
                            </a:ln>
                            <a:effectLst/>
                          </wps:spPr>
                          <wps:bodyPr upright="1"/>
                        </wps:wsp>
                        <wps:wsp>
                          <wps:cNvPr id="24" name="直接连接符 24"/>
                          <wps:cNvCnPr/>
                          <wps:spPr>
                            <a:xfrm flipH="1">
                              <a:off x="4" y="-911"/>
                              <a:ext cx="11" cy="17759"/>
                            </a:xfrm>
                            <a:prstGeom prst="line">
                              <a:avLst/>
                            </a:prstGeom>
                            <a:ln w="12700" cap="flat" cmpd="sng">
                              <a:solidFill>
                                <a:srgbClr val="CCCC00"/>
                              </a:solidFill>
                              <a:prstDash val="solid"/>
                              <a:headEnd type="none" w="med" len="med"/>
                              <a:tailEnd type="none" w="med" len="med"/>
                            </a:ln>
                            <a:effectLst/>
                          </wps:spPr>
                          <wps:bodyPr upright="1"/>
                        </wps:wsp>
                        <wps:wsp>
                          <wps:cNvPr id="25" name="直接连接符 25"/>
                          <wps:cNvCnPr/>
                          <wps:spPr>
                            <a:xfrm>
                              <a:off x="219" y="-915"/>
                              <a:ext cx="62" cy="17763"/>
                            </a:xfrm>
                            <a:prstGeom prst="line">
                              <a:avLst/>
                            </a:prstGeom>
                            <a:ln w="12700" cap="flat" cmpd="sng">
                              <a:solidFill>
                                <a:srgbClr val="CCCC00"/>
                              </a:solidFill>
                              <a:prstDash val="solid"/>
                              <a:headEnd type="none" w="med" len="med"/>
                              <a:tailEnd type="none" w="med" len="med"/>
                            </a:ln>
                            <a:effectLst/>
                          </wps:spPr>
                          <wps:bodyPr upright="1"/>
                        </wps:wsp>
                      </wpg:grpSp>
                      <wps:wsp>
                        <wps:cNvPr id="27" name="文本框 27"/>
                        <wps:cNvSpPr txBox="1"/>
                        <wps:spPr>
                          <a:xfrm>
                            <a:off x="0" y="6396"/>
                            <a:ext cx="11880" cy="3588"/>
                          </a:xfrm>
                          <a:prstGeom prst="rect">
                            <a:avLst/>
                          </a:prstGeom>
                          <a:solidFill>
                            <a:srgbClr val="CC99FF"/>
                          </a:solidFill>
                          <a:ln w="9525" cap="flat" cmpd="sng">
                            <a:solidFill>
                              <a:srgbClr val="000000"/>
                            </a:solidFill>
                            <a:prstDash val="solid"/>
                            <a:miter/>
                            <a:headEnd type="none" w="med" len="med"/>
                            <a:tailEnd type="none" w="med" len="med"/>
                          </a:ln>
                          <a:effectLst/>
                        </wps:spPr>
                        <wps:txb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wps:txbx>
                        <wps:bodyPr wrap="square" upright="1"/>
                      </wps:wsp>
                    </wpg:wgp>
                  </a:graphicData>
                </a:graphic>
              </wp:anchor>
            </w:drawing>
          </mc:Choice>
          <mc:Fallback>
            <w:pict>
              <v:group id="组合 1051" o:spid="_x0000_s1026" o:spt="203" style="position:absolute;left:0pt;margin-left:-79.85pt;margin-top:-74.45pt;height:894.3pt;width:594pt;z-index:-251650048;mso-width-relative:page;mso-height-relative:page;" coordorigin="0,-907" coordsize="11880,17886" o:gfxdata="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">
                <o:lock v:ext="edit" aspectratio="f"/>
                <v:rect id="_x0000_s1026" o:spid="_x0000_s1026" o:spt="1" style="position:absolute;left:6886;top:-877;height:17856;width:4994;" fillcolor="#CCFFCC" filled="t" stroked="t" coordsize="21600,21600" o:gfxdata="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se2e/&#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jc w:val="center"/>
                        </w:pPr>
                      </w:p>
                      <w:p>
                        <w:pPr>
                          <w:jc w:val="center"/>
                        </w:pPr>
                      </w:p>
                      <w:p>
                        <w:pPr>
                          <w:jc w:val="center"/>
                        </w:pPr>
                      </w:p>
                    </w:txbxContent>
                  </v:textbox>
                </v:rect>
                <v:group id="_x0000_s1026" o:spid="_x0000_s1026" o:spt="203" style="position:absolute;left:6460;top:-907;height:17815;width:418;" coordorigin="4,-967" coordsize="418,17815"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line id="_x0000_s1026" o:spid="_x0000_s1026" o:spt="20" style="position:absolute;left:101;top:-967;height:17815;width:57;" filled="f" stroked="t" coordsize="21600,21600" o:gfxdata="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WQThq/&#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20;top:0;height:16848;width:2;" filled="f" stroked="t" coordsize="21600,21600" o:gfxdata="UEsDBAoAAAAAAIdO4kAAAAAAAAAAAAAAAAAEAAAAZHJzL1BLAwQUAAAACACHTuJAatzrgb8AAADb&#10;AAAADwAAAGRycy9kb3ducmV2LnhtbEWP3WrCQBSE7wu+w3IE7+omFqy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c64G/&#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4;top:-911;flip:x;height:17759;width:11;" filled="f" stroked="t" coordsize="21600,21600" o:gfxdata="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d8S/&#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line id="_x0000_s1026" o:spid="_x0000_s1026" o:spt="20" style="position:absolute;left:219;top:-915;height:17763;width:62;" filled="f" stroked="t" coordsize="21600,21600" o:gfxdata="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p51m6/&#10;AAAA2wAAAA8AAAAAAAAAAQAgAAAAIgAAAGRycy9kb3ducmV2LnhtbFBLAQIUABQAAAAIAIdO4kAz&#10;LwWeOwAAADkAAAAQAAAAAAAAAAEAIAAAAA4BAABkcnMvc2hhcGV4bWwueG1sUEsFBgAAAAAGAAYA&#10;WwEAALgDAAAAAA==&#10;">
                    <v:fill on="f" focussize="0,0"/>
                    <v:stroke weight="1pt" color="#CCCC00" joinstyle="round"/>
                    <v:imagedata o:title=""/>
                    <o:lock v:ext="edit" aspectratio="f"/>
                  </v:line>
                </v:group>
                <v:shape id="_x0000_s1026" o:spid="_x0000_s1026" o:spt="202" type="#_x0000_t202" style="position:absolute;left:0;top:6396;height:3588;width:11880;" fillcolor="#CC99FF" filled="t" stroked="t" coordsize="21600,21600" o:gfxdata="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K6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ind w:firstLine="1044" w:firstLineChars="200"/>
                          <w:rPr>
                            <w:rFonts w:ascii="黑体" w:hAnsi="黑体" w:eastAsia="黑体"/>
                            <w:b/>
                            <w:color w:val="FFFFFF"/>
                            <w:sz w:val="52"/>
                            <w:szCs w:val="52"/>
                          </w:rPr>
                        </w:pPr>
                        <w:r>
                          <w:rPr>
                            <w:rFonts w:hint="eastAsia" w:ascii="黑体" w:hAnsi="黑体" w:eastAsia="黑体"/>
                            <w:b/>
                            <w:color w:val="FFFFFF"/>
                            <w:sz w:val="52"/>
                            <w:szCs w:val="52"/>
                          </w:rPr>
                          <w:t xml:space="preserve">第四部分  </w:t>
                        </w:r>
                        <w:r>
                          <w:rPr>
                            <w:rFonts w:ascii="黑体" w:hAnsi="黑体" w:eastAsia="黑体"/>
                            <w:b/>
                            <w:color w:val="FFFFFF"/>
                            <w:sz w:val="52"/>
                            <w:szCs w:val="52"/>
                          </w:rPr>
                          <w:br w:type="textWrapping"/>
                        </w:r>
                        <w:r>
                          <w:rPr>
                            <w:rFonts w:hint="eastAsia" w:ascii="黑体" w:hAnsi="黑体" w:eastAsia="黑体"/>
                            <w:b/>
                            <w:color w:val="FFFFFF"/>
                            <w:sz w:val="52"/>
                            <w:szCs w:val="52"/>
                          </w:rPr>
                          <w:t xml:space="preserve">   　　名词解释</w:t>
                        </w:r>
                      </w:p>
                    </w:txbxContent>
                  </v:textbox>
                </v:shape>
              </v:group>
            </w:pict>
          </mc:Fallback>
        </mc:AlternateContent>
      </w:r>
    </w:p>
    <w:p>
      <w:pPr>
        <w:adjustRightInd w:val="0"/>
        <w:spacing w:line="600" w:lineRule="exact"/>
        <w:ind w:firstLine="640" w:firstLineChars="200"/>
        <w:rPr>
          <w:rFonts w:eastAsia="仿宋_GB2312"/>
          <w:sz w:val="32"/>
          <w:szCs w:val="32"/>
        </w:rPr>
      </w:pPr>
    </w:p>
    <w:p>
      <w:pPr>
        <w:adjustRightInd w:val="0"/>
        <w:spacing w:line="600" w:lineRule="exact"/>
        <w:ind w:firstLine="640" w:firstLineChars="200"/>
        <w:rPr>
          <w:rFonts w:eastAsia="仿宋_GB2312"/>
          <w:sz w:val="32"/>
          <w:szCs w:val="32"/>
        </w:rPr>
      </w:pPr>
    </w:p>
    <w:p>
      <w:pPr>
        <w:adjustRightInd w:val="0"/>
        <w:spacing w:line="600" w:lineRule="exact"/>
        <w:ind w:firstLine="640" w:firstLineChars="200"/>
        <w:rPr>
          <w:rFonts w:eastAsia="仿宋_GB2312"/>
          <w:sz w:val="32"/>
          <w:szCs w:val="32"/>
        </w:rPr>
      </w:pPr>
    </w:p>
    <w:p>
      <w:pPr>
        <w:adjustRightInd w:val="0"/>
        <w:spacing w:line="600" w:lineRule="exact"/>
        <w:ind w:firstLine="640" w:firstLineChars="200"/>
        <w:rPr>
          <w:rFonts w:eastAsia="仿宋_GB2312"/>
          <w:sz w:val="32"/>
          <w:szCs w:val="32"/>
        </w:rPr>
      </w:pPr>
    </w:p>
    <w:p>
      <w:pPr>
        <w:adjustRightInd w:val="0"/>
        <w:spacing w:line="600" w:lineRule="exact"/>
        <w:rPr>
          <w:rFonts w:eastAsia="仿宋_GB2312"/>
          <w:sz w:val="32"/>
          <w:szCs w:val="32"/>
        </w:rPr>
      </w:pPr>
    </w:p>
    <w:p>
      <w:pPr>
        <w:adjustRightInd w:val="0"/>
        <w:spacing w:line="600" w:lineRule="exact"/>
        <w:ind w:firstLine="640" w:firstLineChars="200"/>
        <w:rPr>
          <w:rFonts w:eastAsia="仿宋_GB2312"/>
          <w:sz w:val="32"/>
          <w:szCs w:val="32"/>
        </w:rPr>
      </w:pPr>
    </w:p>
    <w:p>
      <w:pPr>
        <w:adjustRightInd w:val="0"/>
        <w:spacing w:line="600" w:lineRule="exact"/>
        <w:ind w:firstLine="640" w:firstLineChars="200"/>
        <w:rPr>
          <w:rFonts w:eastAsia="仿宋_GB2312"/>
          <w:sz w:val="32"/>
          <w:szCs w:val="32"/>
        </w:rPr>
      </w:pPr>
    </w:p>
    <w:p>
      <w:pPr>
        <w:adjustRightInd w:val="0"/>
        <w:spacing w:line="600" w:lineRule="exact"/>
        <w:ind w:firstLine="640" w:firstLineChars="200"/>
        <w:rPr>
          <w:rFonts w:eastAsia="仿宋_GB2312"/>
          <w:sz w:val="32"/>
          <w:szCs w:val="32"/>
        </w:rPr>
      </w:pPr>
    </w:p>
    <w:p>
      <w:pPr>
        <w:adjustRightInd w:val="0"/>
        <w:spacing w:line="600" w:lineRule="exact"/>
        <w:ind w:firstLine="640" w:firstLineChars="200"/>
        <w:rPr>
          <w:rFonts w:eastAsia="仿宋_GB2312"/>
          <w:sz w:val="32"/>
          <w:szCs w:val="32"/>
        </w:rPr>
      </w:pPr>
    </w:p>
    <w:p>
      <w:pPr>
        <w:adjustRightInd w:val="0"/>
        <w:spacing w:line="600" w:lineRule="exact"/>
        <w:rPr>
          <w:rFonts w:eastAsia="仿宋_GB2312"/>
          <w:sz w:val="32"/>
          <w:szCs w:val="32"/>
        </w:rPr>
      </w:pPr>
    </w:p>
    <w:p>
      <w:pPr>
        <w:adjustRightInd w:val="0"/>
        <w:spacing w:line="600" w:lineRule="exact"/>
        <w:ind w:firstLine="640" w:firstLineChars="200"/>
        <w:rPr>
          <w:rFonts w:eastAsia="仿宋_GB2312"/>
          <w:sz w:val="32"/>
          <w:szCs w:val="32"/>
        </w:rPr>
      </w:pPr>
    </w:p>
    <w:p>
      <w:pPr>
        <w:adjustRightInd w:val="0"/>
        <w:spacing w:line="600" w:lineRule="exact"/>
        <w:ind w:firstLine="640" w:firstLineChars="200"/>
        <w:rPr>
          <w:rFonts w:eastAsia="仿宋_GB2312"/>
          <w:sz w:val="32"/>
          <w:szCs w:val="32"/>
        </w:rPr>
      </w:pPr>
    </w:p>
    <w:p>
      <w:pPr>
        <w:adjustRightInd w:val="0"/>
        <w:spacing w:line="600" w:lineRule="exact"/>
        <w:ind w:firstLine="640" w:firstLineChars="200"/>
        <w:rPr>
          <w:rFonts w:eastAsia="仿宋_GB2312"/>
          <w:sz w:val="32"/>
          <w:szCs w:val="32"/>
        </w:rPr>
      </w:pPr>
    </w:p>
    <w:p>
      <w:pPr>
        <w:adjustRightInd w:val="0"/>
        <w:spacing w:line="600" w:lineRule="exact"/>
        <w:ind w:firstLine="640" w:firstLineChars="200"/>
        <w:rPr>
          <w:rFonts w:eastAsia="仿宋_GB2312"/>
          <w:sz w:val="32"/>
          <w:szCs w:val="32"/>
        </w:rPr>
      </w:pPr>
    </w:p>
    <w:p>
      <w:pPr>
        <w:adjustRightInd w:val="0"/>
        <w:spacing w:line="600" w:lineRule="exact"/>
        <w:rPr>
          <w:rFonts w:eastAsia="仿宋_GB2312"/>
          <w:sz w:val="32"/>
          <w:szCs w:val="32"/>
        </w:rPr>
      </w:pPr>
    </w:p>
    <w:p>
      <w:pPr>
        <w:adjustRightInd w:val="0"/>
        <w:spacing w:line="600" w:lineRule="exact"/>
        <w:rPr>
          <w:rFonts w:eastAsia="仿宋_GB2312"/>
          <w:sz w:val="32"/>
          <w:szCs w:val="32"/>
        </w:rPr>
      </w:pPr>
    </w:p>
    <w:p>
      <w:pPr>
        <w:adjustRightInd w:val="0"/>
        <w:spacing w:line="600" w:lineRule="exact"/>
        <w:ind w:firstLine="640" w:firstLineChars="200"/>
        <w:rPr>
          <w:rFonts w:eastAsia="仿宋_GB2312"/>
          <w:sz w:val="32"/>
          <w:szCs w:val="32"/>
        </w:rPr>
      </w:pPr>
    </w:p>
    <w:p>
      <w:pPr>
        <w:adjustRightInd w:val="0"/>
        <w:spacing w:line="600" w:lineRule="exact"/>
        <w:ind w:firstLine="640" w:firstLineChars="200"/>
        <w:rPr>
          <w:rFonts w:eastAsia="仿宋_GB2312"/>
          <w:sz w:val="32"/>
          <w:szCs w:val="32"/>
        </w:rPr>
      </w:pPr>
    </w:p>
    <w:p>
      <w:pPr>
        <w:pStyle w:val="2"/>
        <w:ind w:firstLine="640"/>
        <w:rPr>
          <w:rFonts w:eastAsia="仿宋_GB2312"/>
          <w:sz w:val="32"/>
          <w:szCs w:val="32"/>
        </w:rPr>
      </w:pPr>
    </w:p>
    <w:p>
      <w:pPr>
        <w:pStyle w:val="2"/>
        <w:ind w:firstLine="640"/>
        <w:rPr>
          <w:rFonts w:eastAsia="仿宋_GB2312"/>
          <w:sz w:val="32"/>
          <w:szCs w:val="32"/>
        </w:rPr>
      </w:pPr>
    </w:p>
    <w:p>
      <w:pPr>
        <w:pStyle w:val="2"/>
        <w:ind w:firstLine="640"/>
        <w:rPr>
          <w:rFonts w:eastAsia="仿宋_GB2312"/>
          <w:sz w:val="32"/>
          <w:szCs w:val="32"/>
        </w:rPr>
      </w:pPr>
    </w:p>
    <w:p>
      <w:pPr>
        <w:pStyle w:val="2"/>
        <w:ind w:firstLine="640"/>
        <w:rPr>
          <w:rFonts w:eastAsia="仿宋_GB2312"/>
          <w:sz w:val="32"/>
          <w:szCs w:val="32"/>
        </w:rPr>
      </w:pPr>
    </w:p>
    <w:p>
      <w:pPr>
        <w:pStyle w:val="2"/>
        <w:ind w:firstLine="640"/>
        <w:rPr>
          <w:rFonts w:eastAsia="仿宋_GB2312"/>
          <w:sz w:val="32"/>
          <w:szCs w:val="32"/>
        </w:rPr>
      </w:pPr>
    </w:p>
    <w:p>
      <w:pPr>
        <w:spacing w:line="560" w:lineRule="exact"/>
        <w:ind w:firstLine="640" w:firstLineChars="200"/>
        <w:rPr>
          <w:rFonts w:ascii="黑体" w:hAnsi="黑体" w:eastAsia="黑体"/>
          <w:b/>
          <w:sz w:val="32"/>
          <w:szCs w:val="32"/>
        </w:rPr>
      </w:pPr>
      <w:r>
        <w:rPr>
          <w:rFonts w:ascii="黑体" w:hAnsi="黑体" w:eastAsia="黑体"/>
          <w:bCs/>
          <w:sz w:val="32"/>
          <w:szCs w:val="32"/>
        </w:rPr>
        <w:t>一、收入类</w:t>
      </w:r>
    </w:p>
    <w:p>
      <w:pPr>
        <w:spacing w:line="560" w:lineRule="exact"/>
        <w:ind w:firstLine="640" w:firstLineChars="200"/>
        <w:rPr>
          <w:rFonts w:hint="eastAsia" w:ascii="仿宋_GB2312" w:eastAsia="仿宋_GB2312"/>
          <w:sz w:val="32"/>
          <w:szCs w:val="32"/>
        </w:rPr>
      </w:pPr>
      <w:r>
        <w:rPr>
          <w:rFonts w:hint="eastAsia" w:ascii="仿宋_GB2312" w:eastAsia="仿宋_GB2312"/>
          <w:b/>
          <w:sz w:val="32"/>
          <w:szCs w:val="32"/>
        </w:rPr>
        <w:t>（一）一般公共预算拨款收入：</w:t>
      </w:r>
      <w:r>
        <w:rPr>
          <w:rFonts w:hint="eastAsia" w:ascii="仿宋_GB2312" w:eastAsia="仿宋_GB2312"/>
          <w:sz w:val="32"/>
          <w:szCs w:val="32"/>
        </w:rPr>
        <w:t>指中央财政当年拨付的资金。</w:t>
      </w:r>
    </w:p>
    <w:p>
      <w:pPr>
        <w:widowControl/>
        <w:spacing w:line="560" w:lineRule="exact"/>
        <w:ind w:firstLine="640" w:firstLineChars="200"/>
        <w:rPr>
          <w:rFonts w:hint="eastAsia" w:ascii="仿宋_GB2312" w:eastAsia="仿宋_GB2312"/>
          <w:sz w:val="32"/>
          <w:szCs w:val="32"/>
        </w:rPr>
      </w:pPr>
      <w:r>
        <w:rPr>
          <w:rFonts w:hint="eastAsia" w:ascii="仿宋_GB2312" w:eastAsia="仿宋_GB2312"/>
          <w:b/>
          <w:sz w:val="32"/>
          <w:szCs w:val="32"/>
        </w:rPr>
        <w:t>（二）其他收入：</w:t>
      </w:r>
      <w:r>
        <w:rPr>
          <w:rFonts w:hint="eastAsia" w:ascii="仿宋_GB2312" w:eastAsia="仿宋_GB2312"/>
          <w:sz w:val="32"/>
          <w:szCs w:val="32"/>
        </w:rPr>
        <w:t>指除上述“一般公共预算拨款收入”“事业收入”“事业单位经营收入”等以外的收入。主要是各级地方财政拨款收入、存款利息收入等。</w:t>
      </w:r>
    </w:p>
    <w:p>
      <w:pPr>
        <w:widowControl/>
        <w:spacing w:line="560" w:lineRule="exact"/>
        <w:ind w:firstLine="640" w:firstLineChars="200"/>
        <w:rPr>
          <w:rFonts w:hint="eastAsia" w:ascii="仿宋_GB2312" w:eastAsia="仿宋_GB2312"/>
          <w:sz w:val="32"/>
          <w:szCs w:val="32"/>
        </w:rPr>
      </w:pPr>
      <w:r>
        <w:rPr>
          <w:rFonts w:hint="eastAsia" w:ascii="仿宋_GB2312" w:eastAsia="仿宋_GB2312"/>
          <w:b/>
          <w:sz w:val="32"/>
          <w:szCs w:val="32"/>
        </w:rPr>
        <w:t>（三）上年结转：</w:t>
      </w:r>
      <w:r>
        <w:rPr>
          <w:rFonts w:hint="eastAsia" w:ascii="仿宋_GB2312" w:eastAsia="仿宋_GB2312"/>
          <w:sz w:val="32"/>
          <w:szCs w:val="32"/>
        </w:rPr>
        <w:t>指以前年度尚未完成、结转到本年仍按原规定用途继续使用的资金。</w:t>
      </w:r>
    </w:p>
    <w:p>
      <w:pPr>
        <w:spacing w:line="560" w:lineRule="exact"/>
        <w:ind w:firstLine="640" w:firstLineChars="200"/>
        <w:rPr>
          <w:rFonts w:hint="eastAsia" w:ascii="黑体" w:hAnsi="黑体" w:eastAsia="黑体"/>
          <w:bCs/>
          <w:sz w:val="32"/>
          <w:szCs w:val="32"/>
        </w:rPr>
      </w:pPr>
      <w:r>
        <w:rPr>
          <w:rFonts w:hint="eastAsia" w:ascii="黑体" w:hAnsi="黑体" w:eastAsia="黑体"/>
          <w:bCs/>
          <w:sz w:val="32"/>
          <w:szCs w:val="32"/>
        </w:rPr>
        <w:t>二、支出类</w:t>
      </w:r>
    </w:p>
    <w:p>
      <w:pPr>
        <w:spacing w:before="156" w:beforeLines="50" w:after="156" w:afterLines="50" w:line="560" w:lineRule="exact"/>
        <w:ind w:firstLine="640" w:firstLineChars="200"/>
        <w:rPr>
          <w:rFonts w:hint="eastAsia" w:ascii="仿宋_GB2312" w:hAnsi="仿宋" w:eastAsia="仿宋_GB2312"/>
          <w:sz w:val="32"/>
          <w:szCs w:val="30"/>
        </w:rPr>
      </w:pPr>
      <w:r>
        <w:rPr>
          <w:rFonts w:hint="eastAsia" w:ascii="仿宋_GB2312" w:eastAsia="仿宋_GB2312"/>
          <w:b/>
          <w:sz w:val="32"/>
          <w:szCs w:val="32"/>
        </w:rPr>
        <w:t>（一）</w:t>
      </w:r>
      <w:bookmarkStart w:id="4" w:name="OLE_LINK1"/>
      <w:r>
        <w:rPr>
          <w:rFonts w:hint="eastAsia" w:ascii="仿宋_GB2312" w:eastAsia="仿宋_GB2312"/>
          <w:b/>
          <w:sz w:val="32"/>
          <w:szCs w:val="32"/>
        </w:rPr>
        <w:t>住房保障支出（类）住房改革支出（款）</w:t>
      </w:r>
      <w:bookmarkEnd w:id="4"/>
      <w:r>
        <w:rPr>
          <w:rFonts w:hint="eastAsia" w:ascii="仿宋_GB2312" w:eastAsia="仿宋_GB2312"/>
          <w:b/>
          <w:sz w:val="32"/>
          <w:szCs w:val="32"/>
        </w:rPr>
        <w:t>住房公积金（项）</w:t>
      </w:r>
      <w:r>
        <w:rPr>
          <w:rFonts w:hint="eastAsia" w:ascii="仿宋_GB2312" w:eastAsia="仿宋_GB2312"/>
          <w:sz w:val="32"/>
          <w:szCs w:val="32"/>
        </w:rPr>
        <w:t>：</w:t>
      </w:r>
      <w:r>
        <w:rPr>
          <w:rFonts w:hint="eastAsia" w:ascii="仿宋_GB2312" w:hAnsi="仿宋" w:eastAsia="仿宋_GB2312"/>
          <w:sz w:val="32"/>
          <w:szCs w:val="30"/>
        </w:rPr>
        <w:t>指按照《住房公积金管理条例》的规定，由单位及其在职职工缴存的长期住房储金。该项政策始于上世纪九十年代中期，在全国机关、企事业单位在职职工中普遍实施，缴存比例最低不低于5%，最高不超过12%，缴存基数为职工本人上年工资。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p>
    <w:p>
      <w:pPr>
        <w:spacing w:before="156" w:beforeLines="50" w:after="156" w:afterLines="50" w:line="560" w:lineRule="exact"/>
        <w:ind w:left="638" w:leftChars="304"/>
        <w:rPr>
          <w:rFonts w:hint="eastAsia" w:ascii="仿宋_GB2312" w:eastAsia="仿宋_GB2312"/>
          <w:b/>
          <w:sz w:val="32"/>
          <w:szCs w:val="32"/>
        </w:rPr>
      </w:pPr>
      <w:r>
        <w:rPr>
          <w:rFonts w:hint="eastAsia" w:ascii="仿宋_GB2312" w:eastAsia="仿宋_GB2312"/>
          <w:b/>
          <w:sz w:val="32"/>
          <w:szCs w:val="32"/>
        </w:rPr>
        <w:t>（二）灾害防治及应急管理支出（类）消防事务（款）行政</w:t>
      </w:r>
    </w:p>
    <w:p>
      <w:pPr>
        <w:spacing w:before="156" w:beforeLines="50" w:after="156" w:afterLines="50" w:line="560" w:lineRule="exact"/>
        <w:rPr>
          <w:rFonts w:hint="eastAsia" w:ascii="仿宋_GB2312" w:eastAsia="仿宋_GB2312"/>
          <w:sz w:val="32"/>
          <w:szCs w:val="32"/>
        </w:rPr>
      </w:pPr>
      <w:r>
        <w:rPr>
          <w:rFonts w:hint="eastAsia" w:ascii="仿宋_GB2312" w:eastAsia="仿宋_GB2312"/>
          <w:b/>
          <w:sz w:val="32"/>
          <w:szCs w:val="32"/>
        </w:rPr>
        <w:t>运行（项）</w:t>
      </w:r>
      <w:r>
        <w:rPr>
          <w:rFonts w:hint="eastAsia" w:ascii="仿宋_GB2312" w:eastAsia="仿宋_GB2312"/>
          <w:sz w:val="32"/>
          <w:szCs w:val="32"/>
        </w:rPr>
        <w:t>：指天津市消防救援总队及所属消防救援队伍用于保障机构正常运行、开展日常工作的基本支出。</w:t>
      </w:r>
    </w:p>
    <w:p>
      <w:pPr>
        <w:widowControl/>
        <w:spacing w:line="560" w:lineRule="exact"/>
        <w:ind w:firstLine="640" w:firstLineChars="200"/>
        <w:rPr>
          <w:rFonts w:hint="eastAsia" w:ascii="仿宋_GB2312" w:eastAsia="仿宋_GB2312"/>
          <w:sz w:val="32"/>
          <w:szCs w:val="32"/>
        </w:rPr>
      </w:pPr>
      <w:r>
        <w:rPr>
          <w:rFonts w:hint="eastAsia" w:ascii="仿宋_GB2312" w:eastAsia="仿宋_GB2312"/>
          <w:b/>
          <w:sz w:val="32"/>
          <w:szCs w:val="32"/>
        </w:rPr>
        <w:t>（三）灾害防治及应急管理支出（类）消防事务（款）消防应急救援（项）</w:t>
      </w:r>
      <w:r>
        <w:rPr>
          <w:rFonts w:hint="eastAsia" w:ascii="仿宋_GB2312" w:eastAsia="仿宋_GB2312"/>
          <w:sz w:val="32"/>
          <w:szCs w:val="32"/>
        </w:rPr>
        <w:t>：指天津市消防救援总队开展消防应急救援方面的支出。</w:t>
      </w:r>
    </w:p>
    <w:p>
      <w:pPr>
        <w:widowControl/>
        <w:spacing w:line="560" w:lineRule="exact"/>
        <w:ind w:firstLine="640" w:firstLineChars="200"/>
        <w:rPr>
          <w:rFonts w:hint="eastAsia" w:ascii="仿宋_GB2312" w:eastAsia="仿宋_GB2312"/>
          <w:sz w:val="32"/>
          <w:szCs w:val="32"/>
        </w:rPr>
      </w:pPr>
      <w:r>
        <w:rPr>
          <w:rFonts w:hint="eastAsia" w:ascii="仿宋_GB2312" w:eastAsia="仿宋_GB2312"/>
          <w:b/>
          <w:sz w:val="32"/>
          <w:szCs w:val="32"/>
        </w:rPr>
        <w:t>（四）结转下年：</w:t>
      </w:r>
      <w:r>
        <w:rPr>
          <w:rFonts w:hint="eastAsia" w:ascii="仿宋_GB2312" w:eastAsia="仿宋_GB2312"/>
          <w:sz w:val="32"/>
          <w:szCs w:val="32"/>
        </w:rPr>
        <w:t>指以前年度预算安排、因客观条件发生变化无法按原计划实施，需延迟到以后年度按原规定用途继续使用的资金。</w:t>
      </w:r>
    </w:p>
    <w:p>
      <w:pPr>
        <w:spacing w:line="560" w:lineRule="exact"/>
        <w:ind w:firstLine="640" w:firstLineChars="200"/>
        <w:rPr>
          <w:rFonts w:hint="eastAsia" w:ascii="仿宋_GB2312" w:eastAsia="仿宋_GB2312"/>
          <w:sz w:val="32"/>
          <w:szCs w:val="32"/>
        </w:rPr>
      </w:pPr>
      <w:r>
        <w:rPr>
          <w:rFonts w:hint="eastAsia" w:ascii="仿宋_GB2312" w:eastAsia="仿宋_GB2312"/>
          <w:b/>
          <w:sz w:val="32"/>
          <w:szCs w:val="32"/>
        </w:rPr>
        <w:t>（五）基本支出：</w:t>
      </w:r>
      <w:r>
        <w:rPr>
          <w:rFonts w:hint="eastAsia" w:ascii="仿宋_GB2312" w:eastAsia="仿宋_GB2312"/>
          <w:sz w:val="32"/>
          <w:szCs w:val="32"/>
        </w:rPr>
        <w:t>指为保障机构正常运转、完成日常工作任务而发生的人员支出和公用支出。</w:t>
      </w:r>
    </w:p>
    <w:p>
      <w:pPr>
        <w:widowControl/>
        <w:spacing w:line="560" w:lineRule="exact"/>
        <w:ind w:firstLine="640" w:firstLineChars="200"/>
        <w:rPr>
          <w:rFonts w:hint="eastAsia" w:ascii="仿宋_GB2312" w:eastAsia="仿宋_GB2312"/>
          <w:sz w:val="32"/>
          <w:szCs w:val="32"/>
        </w:rPr>
      </w:pPr>
      <w:r>
        <w:rPr>
          <w:rFonts w:hint="eastAsia" w:ascii="仿宋_GB2312" w:eastAsia="仿宋_GB2312"/>
          <w:b/>
          <w:sz w:val="32"/>
          <w:szCs w:val="32"/>
        </w:rPr>
        <w:t>（六）项目支出：</w:t>
      </w:r>
      <w:r>
        <w:rPr>
          <w:rFonts w:hint="eastAsia" w:ascii="仿宋_GB2312" w:eastAsia="仿宋_GB2312"/>
          <w:sz w:val="32"/>
          <w:szCs w:val="32"/>
        </w:rPr>
        <w:t>指在基本支出之外为完成特定行政任务和事业发展目标所发生的支出。</w:t>
      </w:r>
    </w:p>
    <w:p>
      <w:pPr>
        <w:spacing w:line="560" w:lineRule="exact"/>
        <w:ind w:firstLine="640" w:firstLineChars="200"/>
        <w:rPr>
          <w:rFonts w:hint="eastAsia" w:ascii="仿宋_GB2312" w:eastAsia="仿宋_GB2312"/>
          <w:sz w:val="32"/>
          <w:szCs w:val="32"/>
        </w:rPr>
      </w:pPr>
      <w:r>
        <w:rPr>
          <w:rFonts w:hint="eastAsia" w:ascii="仿宋_GB2312" w:eastAsia="仿宋_GB2312"/>
          <w:b/>
          <w:sz w:val="32"/>
          <w:szCs w:val="32"/>
        </w:rPr>
        <w:t>（七）“三公”经费：</w:t>
      </w:r>
      <w:r>
        <w:rPr>
          <w:rFonts w:hint="eastAsia" w:ascii="仿宋_GB2312" w:eastAsia="仿宋_GB2312"/>
          <w:sz w:val="32"/>
          <w:szCs w:val="32"/>
        </w:rPr>
        <w:t>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spacing w:line="560" w:lineRule="exact"/>
        <w:ind w:firstLine="640" w:firstLineChars="200"/>
        <w:rPr>
          <w:rFonts w:eastAsia="方正仿宋_GBK"/>
          <w:sz w:val="32"/>
          <w:szCs w:val="32"/>
        </w:rPr>
      </w:pPr>
      <w:r>
        <w:rPr>
          <w:rFonts w:hint="eastAsia" w:ascii="仿宋_GB2312" w:eastAsia="仿宋_GB2312"/>
          <w:b/>
          <w:sz w:val="32"/>
          <w:szCs w:val="32"/>
        </w:rPr>
        <w:t>（八）机关运行经费：</w:t>
      </w:r>
      <w:r>
        <w:rPr>
          <w:rFonts w:hint="eastAsia" w:ascii="仿宋_GB2312" w:eastAsia="仿宋_GB2312"/>
          <w:sz w:val="32"/>
          <w:szCs w:val="32"/>
        </w:rPr>
        <w:t>为保障行政单位（包括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20" w:lineRule="exact"/>
      </w:pPr>
    </w:p>
    <w:sectPr>
      <w:footerReference r:id="rId3" w:type="default"/>
      <w:pgSz w:w="11906" w:h="16838"/>
      <w:pgMar w:top="1418" w:right="1418" w:bottom="1418" w:left="1418" w:header="851" w:footer="27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AD6B9B-42DF-417E-8928-7931E40C689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altName w:val="微软雅黑"/>
    <w:panose1 w:val="02010509060101010101"/>
    <w:charset w:val="86"/>
    <w:family w:val="modern"/>
    <w:pitch w:val="default"/>
    <w:sig w:usb0="00000000" w:usb1="00000000" w:usb2="00000010" w:usb3="00000000" w:csb0="00040000" w:csb1="00000000"/>
    <w:embedRegular r:id="rId2" w:fontKey="{477D34F8-64CB-4567-88E0-471AE950C30F}"/>
  </w:font>
  <w:font w:name="仿宋_GB2312">
    <w:altName w:val="仿宋"/>
    <w:panose1 w:val="02010609030101010101"/>
    <w:charset w:val="86"/>
    <w:family w:val="modern"/>
    <w:pitch w:val="default"/>
    <w:sig w:usb0="00000000" w:usb1="00000000" w:usb2="00000010" w:usb3="00000000" w:csb0="00040000" w:csb1="00000000"/>
    <w:embedRegular r:id="rId3" w:fontKey="{669E9D87-0031-4ABF-9AF1-AB214E5CF852}"/>
  </w:font>
  <w:font w:name="方正仿宋_GBK">
    <w:panose1 w:val="02000000000000000000"/>
    <w:charset w:val="86"/>
    <w:family w:val="auto"/>
    <w:pitch w:val="default"/>
    <w:sig w:usb0="00000000" w:usb1="00000000" w:usb2="00000000" w:usb3="00000000" w:csb0="00000000" w:csb1="00000000"/>
    <w:embedRegular r:id="rId4" w:fontKey="{0CCE7447-B415-4EB8-9E8D-9AB365419284}"/>
  </w:font>
  <w:font w:name="仿宋">
    <w:panose1 w:val="02010609060101010101"/>
    <w:charset w:val="86"/>
    <w:family w:val="auto"/>
    <w:pitch w:val="default"/>
    <w:sig w:usb0="800002BF" w:usb1="38CF7CFA" w:usb2="00000016" w:usb3="00000000" w:csb0="00040001" w:csb1="00000000"/>
    <w:embedRegular r:id="rId5" w:fontKey="{3546DFF2-E6CD-4021-8E6D-79A37FA752A9}"/>
  </w:font>
  <w:font w:name="方正黑体_GBK">
    <w:altName w:val="微软雅黑"/>
    <w:panose1 w:val="03000509000000000000"/>
    <w:charset w:val="86"/>
    <w:family w:val="script"/>
    <w:pitch w:val="default"/>
    <w:sig w:usb0="00000000" w:usb1="00000000" w:usb2="00000010" w:usb3="00000000" w:csb0="00040000" w:csb1="00000000"/>
    <w:embedRegular r:id="rId6" w:fontKey="{3BC4FB34-0B0F-40F2-901A-5B8D4AEAEEC8}"/>
  </w:font>
  <w:font w:name="楷体_GB2312">
    <w:altName w:val="楷体"/>
    <w:panose1 w:val="02010609030101010101"/>
    <w:charset w:val="86"/>
    <w:family w:val="modern"/>
    <w:pitch w:val="default"/>
    <w:sig w:usb0="00000000" w:usb1="00000000" w:usb2="00000010" w:usb3="00000000" w:csb0="00040000" w:csb1="00000000"/>
    <w:embedRegular r:id="rId7" w:fontKey="{72CA93CA-B23D-4D7A-8940-B5FD8DEFE726}"/>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15</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943EDD"/>
    <w:multiLevelType w:val="singleLevel"/>
    <w:tmpl w:val="AE943ED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213"/>
    <w:rsid w:val="00104B30"/>
    <w:rsid w:val="00117A87"/>
    <w:rsid w:val="00192616"/>
    <w:rsid w:val="00352E1C"/>
    <w:rsid w:val="00370AD1"/>
    <w:rsid w:val="00454466"/>
    <w:rsid w:val="004A7D72"/>
    <w:rsid w:val="004B1F90"/>
    <w:rsid w:val="005820F5"/>
    <w:rsid w:val="005902EC"/>
    <w:rsid w:val="005E00A7"/>
    <w:rsid w:val="00690622"/>
    <w:rsid w:val="00695C25"/>
    <w:rsid w:val="00753BAF"/>
    <w:rsid w:val="007607A5"/>
    <w:rsid w:val="0079658A"/>
    <w:rsid w:val="007C6213"/>
    <w:rsid w:val="007F67B9"/>
    <w:rsid w:val="0080033B"/>
    <w:rsid w:val="008425B3"/>
    <w:rsid w:val="0088413A"/>
    <w:rsid w:val="008A48A7"/>
    <w:rsid w:val="008E72F4"/>
    <w:rsid w:val="00942E99"/>
    <w:rsid w:val="00997737"/>
    <w:rsid w:val="00AC65D7"/>
    <w:rsid w:val="00AE0A4B"/>
    <w:rsid w:val="00B2528E"/>
    <w:rsid w:val="00B63C81"/>
    <w:rsid w:val="00BC575D"/>
    <w:rsid w:val="00CE60E7"/>
    <w:rsid w:val="00DF1207"/>
    <w:rsid w:val="00E6575C"/>
    <w:rsid w:val="00F85108"/>
    <w:rsid w:val="00F93F2E"/>
    <w:rsid w:val="00FF3EE5"/>
    <w:rsid w:val="0147421F"/>
    <w:rsid w:val="01AF1E19"/>
    <w:rsid w:val="01CC1E79"/>
    <w:rsid w:val="0241373A"/>
    <w:rsid w:val="026D0B9E"/>
    <w:rsid w:val="02BE0FAC"/>
    <w:rsid w:val="02E34766"/>
    <w:rsid w:val="03C427E2"/>
    <w:rsid w:val="056B1E7D"/>
    <w:rsid w:val="05A7589B"/>
    <w:rsid w:val="05BC48C4"/>
    <w:rsid w:val="06686DF5"/>
    <w:rsid w:val="06C91078"/>
    <w:rsid w:val="09513D79"/>
    <w:rsid w:val="0974420F"/>
    <w:rsid w:val="0A5C77E3"/>
    <w:rsid w:val="0AF529EA"/>
    <w:rsid w:val="0B3323CC"/>
    <w:rsid w:val="0B9D5E86"/>
    <w:rsid w:val="0D0A1954"/>
    <w:rsid w:val="0EDF09B2"/>
    <w:rsid w:val="0F5A1ED7"/>
    <w:rsid w:val="0FD712AB"/>
    <w:rsid w:val="0FDA1B1D"/>
    <w:rsid w:val="102417E5"/>
    <w:rsid w:val="10EE4F27"/>
    <w:rsid w:val="11DA25CD"/>
    <w:rsid w:val="11FE4A9B"/>
    <w:rsid w:val="133268CF"/>
    <w:rsid w:val="13CC63DC"/>
    <w:rsid w:val="143722CD"/>
    <w:rsid w:val="14D6646B"/>
    <w:rsid w:val="159563E6"/>
    <w:rsid w:val="16217B61"/>
    <w:rsid w:val="17A61222"/>
    <w:rsid w:val="17CD0780"/>
    <w:rsid w:val="17CE0B8D"/>
    <w:rsid w:val="17D207D4"/>
    <w:rsid w:val="187D4E25"/>
    <w:rsid w:val="18A32A9D"/>
    <w:rsid w:val="192A65EA"/>
    <w:rsid w:val="197A49B2"/>
    <w:rsid w:val="1A135F96"/>
    <w:rsid w:val="1A1A683B"/>
    <w:rsid w:val="1B005770"/>
    <w:rsid w:val="1B444887"/>
    <w:rsid w:val="1B7D216B"/>
    <w:rsid w:val="1C2A718A"/>
    <w:rsid w:val="1C7E6912"/>
    <w:rsid w:val="1D1F0DF2"/>
    <w:rsid w:val="1DC55869"/>
    <w:rsid w:val="1DE756D4"/>
    <w:rsid w:val="1E19319A"/>
    <w:rsid w:val="1E490475"/>
    <w:rsid w:val="1E4C7A6E"/>
    <w:rsid w:val="1E644BA7"/>
    <w:rsid w:val="1E791B9F"/>
    <w:rsid w:val="1EBC4EB0"/>
    <w:rsid w:val="1F256F74"/>
    <w:rsid w:val="21A50E43"/>
    <w:rsid w:val="22386D07"/>
    <w:rsid w:val="230E7C03"/>
    <w:rsid w:val="23AD72E0"/>
    <w:rsid w:val="25637164"/>
    <w:rsid w:val="261D32C2"/>
    <w:rsid w:val="271A69DB"/>
    <w:rsid w:val="276610B4"/>
    <w:rsid w:val="28685CFD"/>
    <w:rsid w:val="290C0B98"/>
    <w:rsid w:val="29141705"/>
    <w:rsid w:val="293324A5"/>
    <w:rsid w:val="299073BB"/>
    <w:rsid w:val="29FE621A"/>
    <w:rsid w:val="2A423C54"/>
    <w:rsid w:val="2A4A4B09"/>
    <w:rsid w:val="2C1D6834"/>
    <w:rsid w:val="2C24323B"/>
    <w:rsid w:val="2D424340"/>
    <w:rsid w:val="2E030A9F"/>
    <w:rsid w:val="2E6B28A3"/>
    <w:rsid w:val="2EE74530"/>
    <w:rsid w:val="2FB0509C"/>
    <w:rsid w:val="2FDC0B92"/>
    <w:rsid w:val="300955EF"/>
    <w:rsid w:val="30D26740"/>
    <w:rsid w:val="311C1718"/>
    <w:rsid w:val="33420DB8"/>
    <w:rsid w:val="338804E0"/>
    <w:rsid w:val="33E7077A"/>
    <w:rsid w:val="33E977DA"/>
    <w:rsid w:val="34941857"/>
    <w:rsid w:val="34F22123"/>
    <w:rsid w:val="38777AE4"/>
    <w:rsid w:val="38F95FD4"/>
    <w:rsid w:val="3A195218"/>
    <w:rsid w:val="3A6B0B30"/>
    <w:rsid w:val="3AFD4CD5"/>
    <w:rsid w:val="3C097044"/>
    <w:rsid w:val="3C5862E5"/>
    <w:rsid w:val="3C87049A"/>
    <w:rsid w:val="3DEE0321"/>
    <w:rsid w:val="3E57404C"/>
    <w:rsid w:val="3FC40C6B"/>
    <w:rsid w:val="411F03C0"/>
    <w:rsid w:val="430A3435"/>
    <w:rsid w:val="44271EF9"/>
    <w:rsid w:val="443F5AC6"/>
    <w:rsid w:val="44E027F3"/>
    <w:rsid w:val="470E153E"/>
    <w:rsid w:val="47161B18"/>
    <w:rsid w:val="47193DC6"/>
    <w:rsid w:val="488B3DDF"/>
    <w:rsid w:val="4B7F6570"/>
    <w:rsid w:val="4BA87D31"/>
    <w:rsid w:val="4C233C13"/>
    <w:rsid w:val="4EE52CE5"/>
    <w:rsid w:val="4F59656B"/>
    <w:rsid w:val="4F5A5229"/>
    <w:rsid w:val="50B461CE"/>
    <w:rsid w:val="50E826E5"/>
    <w:rsid w:val="514160CE"/>
    <w:rsid w:val="51BB547C"/>
    <w:rsid w:val="542A6845"/>
    <w:rsid w:val="5444581F"/>
    <w:rsid w:val="553D17ED"/>
    <w:rsid w:val="565F7A74"/>
    <w:rsid w:val="56BE443B"/>
    <w:rsid w:val="56FA0844"/>
    <w:rsid w:val="577A3B6D"/>
    <w:rsid w:val="58991074"/>
    <w:rsid w:val="58A177E1"/>
    <w:rsid w:val="58C00B94"/>
    <w:rsid w:val="59BE7B76"/>
    <w:rsid w:val="59DE45EC"/>
    <w:rsid w:val="59E349F3"/>
    <w:rsid w:val="5A71454B"/>
    <w:rsid w:val="5ABD1E94"/>
    <w:rsid w:val="5C683A4B"/>
    <w:rsid w:val="5CA52C45"/>
    <w:rsid w:val="5E040160"/>
    <w:rsid w:val="5E346E96"/>
    <w:rsid w:val="5FD820AD"/>
    <w:rsid w:val="60625D14"/>
    <w:rsid w:val="60BD35BF"/>
    <w:rsid w:val="60F639EC"/>
    <w:rsid w:val="615D0F85"/>
    <w:rsid w:val="61FA56CF"/>
    <w:rsid w:val="6329522E"/>
    <w:rsid w:val="63454B16"/>
    <w:rsid w:val="643B7135"/>
    <w:rsid w:val="64C94FFC"/>
    <w:rsid w:val="65386045"/>
    <w:rsid w:val="656051C5"/>
    <w:rsid w:val="65845440"/>
    <w:rsid w:val="65A65727"/>
    <w:rsid w:val="65EB48F5"/>
    <w:rsid w:val="669C0D6D"/>
    <w:rsid w:val="66B231EB"/>
    <w:rsid w:val="67D740CF"/>
    <w:rsid w:val="67F46B26"/>
    <w:rsid w:val="687C2582"/>
    <w:rsid w:val="69754C84"/>
    <w:rsid w:val="6A2C555C"/>
    <w:rsid w:val="6ADE4B32"/>
    <w:rsid w:val="6B420CC8"/>
    <w:rsid w:val="6BC07390"/>
    <w:rsid w:val="6CDA729A"/>
    <w:rsid w:val="6CE837C3"/>
    <w:rsid w:val="6D2F67B2"/>
    <w:rsid w:val="6D6937FA"/>
    <w:rsid w:val="6D800B12"/>
    <w:rsid w:val="6D9428B9"/>
    <w:rsid w:val="6E7F5E9C"/>
    <w:rsid w:val="6E903BA8"/>
    <w:rsid w:val="6EFA247C"/>
    <w:rsid w:val="6F944408"/>
    <w:rsid w:val="6FB64420"/>
    <w:rsid w:val="709B40A8"/>
    <w:rsid w:val="70D5663B"/>
    <w:rsid w:val="715A02AF"/>
    <w:rsid w:val="71D51E82"/>
    <w:rsid w:val="743728BC"/>
    <w:rsid w:val="75CF52CC"/>
    <w:rsid w:val="785903B8"/>
    <w:rsid w:val="78B768D5"/>
    <w:rsid w:val="79D11E63"/>
    <w:rsid w:val="7A7045AA"/>
    <w:rsid w:val="7AD01744"/>
    <w:rsid w:val="7B7003EA"/>
    <w:rsid w:val="7B9D5D8B"/>
    <w:rsid w:val="7BBE4CE4"/>
    <w:rsid w:val="7C533A76"/>
    <w:rsid w:val="7D012012"/>
    <w:rsid w:val="7DB2232D"/>
    <w:rsid w:val="7EE9144A"/>
    <w:rsid w:val="7EF90995"/>
    <w:rsid w:val="7F780D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spacing w:line="440" w:lineRule="exact"/>
      <w:ind w:firstLine="480"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0"/>
  </w:style>
  <w:style w:type="character" w:customStyle="1" w:styleId="9">
    <w:name w:val="页眉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15</Pages>
  <Words>4356</Words>
  <Characters>4839</Characters>
  <Lines>35</Lines>
  <Paragraphs>10</Paragraphs>
  <TotalTime>30</TotalTime>
  <ScaleCrop>false</ScaleCrop>
  <LinksUpToDate>false</LinksUpToDate>
  <CharactersWithSpaces>4873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2021-03-30T07:38:00Z</dcterms:created>
  <dc:creator>Administrator</dc:creator>
  <cp:lastModifiedBy>Administrator</cp:lastModifiedBy>
  <cp:lastPrinted>2021-03-30T06:59:00Z</cp:lastPrinted>
  <dcterms:modified xsi:type="dcterms:W3CDTF">2022-04-19T00:32:03Z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y fmtid="{D5CDD505-2E9C-101B-9397-08002B2CF9AE}" pid="3" name="KSOSaveFontToCloudKey">
    <vt:lpwstr>286058643_btnclosed</vt:lpwstr>
  </property>
  <property fmtid="{D5CDD505-2E9C-101B-9397-08002B2CF9AE}" pid="4" name="ICV">
    <vt:lpwstr>7DD17540786F4AFF84FAF0F75A0BAD56</vt:lpwstr>
  </property>
</Properties>
</file>